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71815454" w:rsidR="00E74CF9" w:rsidRDefault="0082585C" w:rsidP="000B1B97">
            <w:pPr>
              <w:pStyle w:val="M8"/>
              <w:framePr w:wrap="auto" w:vAnchor="margin" w:hAnchor="text" w:xAlign="left" w:yAlign="inline"/>
              <w:suppressOverlap w:val="0"/>
              <w:rPr>
                <w:b/>
              </w:rPr>
            </w:pPr>
            <w:r>
              <w:rPr>
                <w:sz w:val="18"/>
                <w:szCs w:val="18"/>
              </w:rPr>
              <w:t>4</w:t>
            </w:r>
            <w:r w:rsidR="00A42607" w:rsidRPr="00E74CF9">
              <w:rPr>
                <w:sz w:val="18"/>
                <w:szCs w:val="18"/>
              </w:rPr>
              <w:t xml:space="preserve">. </w:t>
            </w:r>
            <w:r>
              <w:rPr>
                <w:sz w:val="18"/>
                <w:szCs w:val="18"/>
              </w:rPr>
              <w:t>August</w:t>
            </w:r>
            <w:r w:rsidR="00A42607" w:rsidRPr="00E74CF9">
              <w:rPr>
                <w:sz w:val="18"/>
                <w:szCs w:val="18"/>
              </w:rPr>
              <w:t xml:space="preserve"> 2020</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69FD7A7F" w14:textId="77777777" w:rsidR="00023CAA" w:rsidRPr="00A833A7" w:rsidRDefault="00023CAA" w:rsidP="00023CAA">
      <w:pPr>
        <w:pStyle w:val="Titel"/>
        <w:rPr>
          <w:b w:val="0"/>
          <w:u w:val="single"/>
        </w:rPr>
      </w:pPr>
      <w:r w:rsidRPr="00A833A7">
        <w:rPr>
          <w:b w:val="0"/>
          <w:u w:val="single"/>
        </w:rPr>
        <w:t>Wirtschaftliche Eckdaten:</w:t>
      </w:r>
      <w:r>
        <w:rPr>
          <w:b w:val="0"/>
          <w:u w:val="single"/>
        </w:rPr>
        <w:t xml:space="preserve"> 2. Quartal 2020</w:t>
      </w:r>
    </w:p>
    <w:p w14:paraId="3C5158FE" w14:textId="77777777" w:rsidR="00023CAA" w:rsidRPr="008B22EC" w:rsidRDefault="00023CAA" w:rsidP="00023CAA">
      <w:pPr>
        <w:pStyle w:val="Titel"/>
        <w:rPr>
          <w:b w:val="0"/>
          <w:u w:val="single"/>
        </w:rPr>
      </w:pPr>
    </w:p>
    <w:p w14:paraId="17CFCF9C" w14:textId="77777777" w:rsidR="00023CAA" w:rsidRPr="008B22EC" w:rsidRDefault="00023CAA" w:rsidP="00023CAA">
      <w:pPr>
        <w:pStyle w:val="Titel"/>
        <w:rPr>
          <w:szCs w:val="24"/>
        </w:rPr>
      </w:pPr>
    </w:p>
    <w:p w14:paraId="1A5C4427" w14:textId="77777777" w:rsidR="00023CAA" w:rsidRPr="00461471" w:rsidRDefault="00023CAA" w:rsidP="00023CAA">
      <w:pPr>
        <w:pStyle w:val="Titel"/>
      </w:pPr>
      <w:bookmarkStart w:id="0" w:name="_Hlk38958809"/>
      <w:r>
        <w:t>Evonik kommt gut durch die Krise</w:t>
      </w:r>
    </w:p>
    <w:p w14:paraId="60AF53A6" w14:textId="77777777" w:rsidR="00023CAA" w:rsidRPr="00461471" w:rsidRDefault="00023CAA" w:rsidP="00023CAA">
      <w:pPr>
        <w:pStyle w:val="Titel"/>
      </w:pPr>
    </w:p>
    <w:p w14:paraId="4128EC15" w14:textId="77777777" w:rsidR="00023CAA" w:rsidRDefault="00023CAA" w:rsidP="00023CAA">
      <w:pPr>
        <w:numPr>
          <w:ilvl w:val="0"/>
          <w:numId w:val="32"/>
        </w:numPr>
        <w:tabs>
          <w:tab w:val="clear" w:pos="1425"/>
          <w:tab w:val="num" w:pos="340"/>
        </w:tabs>
        <w:ind w:left="340" w:right="85" w:hanging="340"/>
        <w:rPr>
          <w:rFonts w:cs="Lucida Sans Unicode"/>
          <w:sz w:val="24"/>
        </w:rPr>
      </w:pPr>
      <w:r>
        <w:rPr>
          <w:rFonts w:cs="Lucida Sans Unicode"/>
          <w:sz w:val="24"/>
        </w:rPr>
        <w:t xml:space="preserve">Ausblick 2020 bestätigt: Bereinigtes EBITDA zwischen </w:t>
      </w:r>
    </w:p>
    <w:p w14:paraId="59F5C73B" w14:textId="77777777" w:rsidR="00023CAA" w:rsidRPr="00ED7A6A" w:rsidRDefault="00023CAA" w:rsidP="00023CAA">
      <w:pPr>
        <w:ind w:left="340" w:right="85"/>
        <w:rPr>
          <w:rFonts w:cs="Lucida Sans Unicode"/>
          <w:sz w:val="24"/>
        </w:rPr>
      </w:pPr>
      <w:r w:rsidRPr="00ED7A6A">
        <w:rPr>
          <w:rFonts w:cs="Lucida Sans Unicode"/>
          <w:color w:val="000000" w:themeColor="text1"/>
          <w:sz w:val="24"/>
        </w:rPr>
        <w:t xml:space="preserve">1,7 und 2,1 Milliarden € </w:t>
      </w:r>
      <w:r>
        <w:rPr>
          <w:rFonts w:cs="Lucida Sans Unicode"/>
          <w:color w:val="000000" w:themeColor="text1"/>
          <w:sz w:val="24"/>
        </w:rPr>
        <w:t>erwartet</w:t>
      </w:r>
    </w:p>
    <w:p w14:paraId="44E907F6" w14:textId="77777777" w:rsidR="00023CAA" w:rsidRDefault="00023CAA" w:rsidP="00023CAA">
      <w:pPr>
        <w:numPr>
          <w:ilvl w:val="0"/>
          <w:numId w:val="32"/>
        </w:numPr>
        <w:tabs>
          <w:tab w:val="clear" w:pos="1425"/>
          <w:tab w:val="num" w:pos="340"/>
        </w:tabs>
        <w:ind w:left="340" w:right="85" w:hanging="340"/>
        <w:rPr>
          <w:rFonts w:cs="Lucida Sans Unicode"/>
          <w:sz w:val="24"/>
        </w:rPr>
      </w:pPr>
      <w:r>
        <w:rPr>
          <w:rFonts w:cs="Lucida Sans Unicode"/>
          <w:sz w:val="24"/>
        </w:rPr>
        <w:t xml:space="preserve">Q2: </w:t>
      </w:r>
      <w:r w:rsidRPr="00441EDD" w:rsidDel="00A8155A">
        <w:rPr>
          <w:rFonts w:cs="Lucida Sans Unicode"/>
          <w:sz w:val="24"/>
        </w:rPr>
        <w:t xml:space="preserve">Umsatz </w:t>
      </w:r>
      <w:r>
        <w:rPr>
          <w:rFonts w:cs="Lucida Sans Unicode"/>
          <w:sz w:val="24"/>
        </w:rPr>
        <w:t>geht infolge schwacher Nachfrage um</w:t>
      </w:r>
    </w:p>
    <w:p w14:paraId="3AE346ED" w14:textId="77777777" w:rsidR="00023CAA" w:rsidRPr="00ED7A6A" w:rsidRDefault="00023CAA" w:rsidP="00023CAA">
      <w:pPr>
        <w:ind w:left="340" w:right="85"/>
        <w:rPr>
          <w:rFonts w:cs="Lucida Sans Unicode"/>
          <w:sz w:val="24"/>
        </w:rPr>
      </w:pPr>
      <w:r>
        <w:rPr>
          <w:rFonts w:cs="Lucida Sans Unicode"/>
          <w:sz w:val="24"/>
        </w:rPr>
        <w:t xml:space="preserve">14 </w:t>
      </w:r>
      <w:r w:rsidRPr="00441EDD" w:rsidDel="00A8155A">
        <w:rPr>
          <w:rFonts w:cs="Lucida Sans Unicode"/>
          <w:sz w:val="24"/>
        </w:rPr>
        <w:t>Prozent</w:t>
      </w:r>
      <w:r>
        <w:rPr>
          <w:rFonts w:cs="Lucida Sans Unicode"/>
          <w:sz w:val="24"/>
        </w:rPr>
        <w:t xml:space="preserve">, bereinigtes EBITDA um 19 Prozent zurück </w:t>
      </w:r>
    </w:p>
    <w:p w14:paraId="3C24D4C7" w14:textId="77777777" w:rsidR="00023CAA" w:rsidRDefault="00023CAA" w:rsidP="00023CAA">
      <w:pPr>
        <w:numPr>
          <w:ilvl w:val="0"/>
          <w:numId w:val="32"/>
        </w:numPr>
        <w:tabs>
          <w:tab w:val="clear" w:pos="1425"/>
          <w:tab w:val="num" w:pos="340"/>
        </w:tabs>
        <w:ind w:left="340" w:right="85" w:hanging="340"/>
        <w:rPr>
          <w:rFonts w:cs="Lucida Sans Unicode"/>
          <w:sz w:val="24"/>
        </w:rPr>
      </w:pPr>
      <w:r>
        <w:rPr>
          <w:rFonts w:cs="Lucida Sans Unicode"/>
          <w:sz w:val="24"/>
        </w:rPr>
        <w:t xml:space="preserve">Robuste EBITDA-Margen von 20 Prozent in den Wachstumssegmenten Nutrition &amp; Care und Resource Efficiency </w:t>
      </w:r>
    </w:p>
    <w:bookmarkEnd w:id="0"/>
    <w:p w14:paraId="6C03B899" w14:textId="77777777" w:rsidR="00023CAA" w:rsidRDefault="00023CAA" w:rsidP="00023CAA">
      <w:pPr>
        <w:ind w:right="85"/>
        <w:rPr>
          <w:sz w:val="24"/>
        </w:rPr>
      </w:pPr>
    </w:p>
    <w:p w14:paraId="65CDAB68" w14:textId="77777777" w:rsidR="00023CAA" w:rsidRDefault="00023CAA" w:rsidP="00023CAA">
      <w:pPr>
        <w:ind w:right="340"/>
        <w:rPr>
          <w:bCs/>
        </w:rPr>
      </w:pPr>
      <w:r w:rsidRPr="00720877">
        <w:rPr>
          <w:b/>
          <w:bCs/>
        </w:rPr>
        <w:t>Essen</w:t>
      </w:r>
      <w:r w:rsidRPr="00720877">
        <w:rPr>
          <w:bCs/>
        </w:rPr>
        <w:t xml:space="preserve">. </w:t>
      </w:r>
      <w:r>
        <w:rPr>
          <w:bCs/>
        </w:rPr>
        <w:t xml:space="preserve">Vor dem Hintergrund der weltweiten Rezession infolge der Corona-Pandemie kommt Evonik gut durch die Krise. Gleichwohl gingen Umsatz und Ergebnis </w:t>
      </w:r>
      <w:r w:rsidRPr="00734BF6">
        <w:rPr>
          <w:bCs/>
        </w:rPr>
        <w:t xml:space="preserve">im </w:t>
      </w:r>
      <w:r>
        <w:rPr>
          <w:bCs/>
        </w:rPr>
        <w:t>zweiten</w:t>
      </w:r>
      <w:r w:rsidRPr="00734BF6">
        <w:rPr>
          <w:bCs/>
        </w:rPr>
        <w:t xml:space="preserve"> Quartal </w:t>
      </w:r>
      <w:r>
        <w:rPr>
          <w:bCs/>
        </w:rPr>
        <w:t>infolge deutlich schwächerer Nachfrage in einigen Märkten gegenüber dem Vorjahr zurück. Der Konzernumsatz sank um</w:t>
      </w:r>
    </w:p>
    <w:p w14:paraId="1E35AF4B" w14:textId="77777777" w:rsidR="00023CAA" w:rsidRDefault="00023CAA" w:rsidP="00023CAA">
      <w:pPr>
        <w:ind w:right="340"/>
        <w:rPr>
          <w:bCs/>
        </w:rPr>
      </w:pPr>
      <w:r>
        <w:rPr>
          <w:bCs/>
        </w:rPr>
        <w:t xml:space="preserve">14 Prozent </w:t>
      </w:r>
      <w:r w:rsidRPr="00734BF6">
        <w:rPr>
          <w:bCs/>
        </w:rPr>
        <w:t>auf</w:t>
      </w:r>
      <w:r>
        <w:rPr>
          <w:bCs/>
        </w:rPr>
        <w:t xml:space="preserve"> 2,83</w:t>
      </w:r>
      <w:r w:rsidRPr="00734BF6">
        <w:rPr>
          <w:bCs/>
        </w:rPr>
        <w:t xml:space="preserve"> Milliarden €</w:t>
      </w:r>
      <w:r>
        <w:rPr>
          <w:bCs/>
        </w:rPr>
        <w:t>, d</w:t>
      </w:r>
      <w:r w:rsidRPr="00734BF6">
        <w:rPr>
          <w:bCs/>
        </w:rPr>
        <w:t>as bereinigte EBITDA um</w:t>
      </w:r>
    </w:p>
    <w:p w14:paraId="0C92830D" w14:textId="77777777" w:rsidR="00023CAA" w:rsidRDefault="00023CAA" w:rsidP="00023CAA">
      <w:pPr>
        <w:ind w:right="340"/>
        <w:rPr>
          <w:bCs/>
        </w:rPr>
      </w:pPr>
      <w:r>
        <w:rPr>
          <w:bCs/>
        </w:rPr>
        <w:t xml:space="preserve">19 </w:t>
      </w:r>
      <w:r w:rsidRPr="00734BF6">
        <w:rPr>
          <w:bCs/>
        </w:rPr>
        <w:t>Prozent auf</w:t>
      </w:r>
      <w:r>
        <w:rPr>
          <w:bCs/>
        </w:rPr>
        <w:t xml:space="preserve"> 456 </w:t>
      </w:r>
      <w:r w:rsidRPr="00734BF6">
        <w:rPr>
          <w:bCs/>
        </w:rPr>
        <w:t xml:space="preserve">Millionen </w:t>
      </w:r>
      <w:r>
        <w:rPr>
          <w:bCs/>
        </w:rPr>
        <w:t xml:space="preserve">€. </w:t>
      </w:r>
    </w:p>
    <w:p w14:paraId="6BBA430A" w14:textId="77777777" w:rsidR="00023CAA" w:rsidRDefault="00023CAA" w:rsidP="00023CAA">
      <w:pPr>
        <w:ind w:right="340"/>
        <w:rPr>
          <w:bCs/>
        </w:rPr>
      </w:pPr>
    </w:p>
    <w:p w14:paraId="63AAD51C" w14:textId="77777777" w:rsidR="00023CAA" w:rsidRDefault="00023CAA" w:rsidP="00023CAA">
      <w:pPr>
        <w:ind w:right="340"/>
      </w:pPr>
      <w:r>
        <w:t xml:space="preserve">„Evonik hält der Krise stand“, </w:t>
      </w:r>
      <w:r w:rsidRPr="00720877">
        <w:t>sagt Christian Kullmann, Vorsitzender des Vorstand</w:t>
      </w:r>
      <w:r>
        <w:t>e</w:t>
      </w:r>
      <w:r w:rsidRPr="00720877">
        <w:t>s</w:t>
      </w:r>
      <w:r>
        <w:rPr>
          <w:bCs/>
        </w:rPr>
        <w:t>. „Im zweiten Quartal haben wir die Folgen der Pandemie durchaus zu spüren bekommen. Der strategische Portfolioumbau und die Umsetzung unserer Effizienzprogramme trugen aber dazu bei, dass wir besser durchs erste Halbjahr gekommen sind als zunächst erwartet</w:t>
      </w:r>
      <w:r>
        <w:t xml:space="preserve">. Dies gilt insbesondere für unsere starken </w:t>
      </w:r>
      <w:r>
        <w:rPr>
          <w:bCs/>
        </w:rPr>
        <w:t>Wachstumssegmente.</w:t>
      </w:r>
      <w:r>
        <w:t xml:space="preserve">“ </w:t>
      </w:r>
    </w:p>
    <w:p w14:paraId="2BBE8464" w14:textId="77777777" w:rsidR="00023CAA" w:rsidRPr="005070E7" w:rsidRDefault="00023CAA" w:rsidP="00023CAA">
      <w:pPr>
        <w:ind w:right="340"/>
        <w:rPr>
          <w:bCs/>
        </w:rPr>
      </w:pPr>
    </w:p>
    <w:p w14:paraId="46E9B569" w14:textId="77777777" w:rsidR="00023CAA" w:rsidRDefault="00023CAA" w:rsidP="00023CAA">
      <w:pPr>
        <w:ind w:right="340"/>
        <w:rPr>
          <w:bCs/>
        </w:rPr>
      </w:pPr>
      <w:bookmarkStart w:id="1" w:name="_Hlk38963265"/>
      <w:r>
        <w:rPr>
          <w:bCs/>
        </w:rPr>
        <w:t xml:space="preserve">Die beiden Wachstumssegmente </w:t>
      </w:r>
      <w:r w:rsidRPr="003549A5">
        <w:rPr>
          <w:bCs/>
        </w:rPr>
        <w:t xml:space="preserve">Resource Efficiency </w:t>
      </w:r>
      <w:r>
        <w:rPr>
          <w:bCs/>
        </w:rPr>
        <w:t xml:space="preserve">und </w:t>
      </w:r>
      <w:r w:rsidRPr="003549A5">
        <w:rPr>
          <w:bCs/>
        </w:rPr>
        <w:t>Nutrition &amp; Care</w:t>
      </w:r>
      <w:r>
        <w:rPr>
          <w:bCs/>
        </w:rPr>
        <w:t xml:space="preserve"> zeigten sich im zweiten Quartal robust und erzielten eine gute bereinigte EBITDA-Marge von jeweils</w:t>
      </w:r>
    </w:p>
    <w:p w14:paraId="0EE1691F" w14:textId="77777777" w:rsidR="00023CAA" w:rsidRDefault="00023CAA" w:rsidP="00023CAA">
      <w:pPr>
        <w:ind w:right="340"/>
        <w:rPr>
          <w:bCs/>
        </w:rPr>
      </w:pPr>
      <w:r>
        <w:rPr>
          <w:bCs/>
        </w:rPr>
        <w:t xml:space="preserve">20 Prozent. Das Segment Performance Materials wurde dagegen deutlich härter vom Einbruch der Nachfrage getroffen und litt zudem unter den Folgen des niedrigen Ölpreises. </w:t>
      </w:r>
    </w:p>
    <w:p w14:paraId="788A73EB" w14:textId="77777777" w:rsidR="00023CAA" w:rsidRDefault="00023CAA" w:rsidP="00023CAA">
      <w:pPr>
        <w:ind w:right="340"/>
        <w:rPr>
          <w:bCs/>
        </w:rPr>
      </w:pPr>
    </w:p>
    <w:p w14:paraId="728DFE45" w14:textId="77777777" w:rsidR="00023CAA" w:rsidRDefault="00023CAA" w:rsidP="00023CAA">
      <w:pPr>
        <w:ind w:right="340"/>
        <w:rPr>
          <w:rFonts w:cs="Lucida Sans Unicode"/>
          <w:color w:val="000000"/>
          <w:szCs w:val="22"/>
        </w:rPr>
      </w:pPr>
    </w:p>
    <w:p w14:paraId="4C609FAA" w14:textId="77777777" w:rsidR="00023CAA" w:rsidRDefault="00023CAA" w:rsidP="00023CAA">
      <w:pPr>
        <w:ind w:right="340"/>
        <w:rPr>
          <w:rFonts w:cs="Lucida Sans Unicode"/>
          <w:color w:val="000000"/>
          <w:szCs w:val="22"/>
        </w:rPr>
      </w:pPr>
    </w:p>
    <w:p w14:paraId="01250630" w14:textId="77777777" w:rsidR="0082585C" w:rsidRDefault="0082585C" w:rsidP="00023CAA">
      <w:pPr>
        <w:ind w:right="340"/>
        <w:rPr>
          <w:rFonts w:cs="Lucida Sans Unicode"/>
          <w:color w:val="000000"/>
          <w:szCs w:val="22"/>
        </w:rPr>
      </w:pPr>
    </w:p>
    <w:p w14:paraId="31DA2DAD" w14:textId="11963983" w:rsidR="00023CAA" w:rsidRPr="00E7037E" w:rsidRDefault="00023CAA" w:rsidP="00023CAA">
      <w:pPr>
        <w:ind w:right="340"/>
        <w:rPr>
          <w:rFonts w:cs="Lucida Sans Unicode"/>
          <w:color w:val="000000"/>
          <w:szCs w:val="22"/>
        </w:rPr>
      </w:pPr>
      <w:r w:rsidRPr="009C6C68">
        <w:rPr>
          <w:rFonts w:cs="Lucida Sans Unicode"/>
          <w:color w:val="000000"/>
          <w:szCs w:val="22"/>
        </w:rPr>
        <w:lastRenderedPageBreak/>
        <w:t xml:space="preserve">Das bereinigte Konzernergebnis ging </w:t>
      </w:r>
      <w:r>
        <w:rPr>
          <w:rFonts w:cs="Lucida Sans Unicode"/>
          <w:color w:val="000000"/>
          <w:szCs w:val="22"/>
        </w:rPr>
        <w:t xml:space="preserve">im zweiten Quartal im Vergleich zum Vorjahr </w:t>
      </w:r>
      <w:r w:rsidRPr="009C6C68">
        <w:rPr>
          <w:rFonts w:cs="Lucida Sans Unicode"/>
          <w:color w:val="000000"/>
          <w:szCs w:val="22"/>
        </w:rPr>
        <w:t xml:space="preserve">um </w:t>
      </w:r>
      <w:r>
        <w:rPr>
          <w:rFonts w:cs="Lucida Sans Unicode"/>
          <w:color w:val="000000"/>
          <w:szCs w:val="22"/>
        </w:rPr>
        <w:t>30</w:t>
      </w:r>
      <w:r w:rsidRPr="009C6C68">
        <w:rPr>
          <w:rFonts w:cs="Lucida Sans Unicode"/>
          <w:color w:val="000000"/>
          <w:szCs w:val="22"/>
        </w:rPr>
        <w:t xml:space="preserve"> Prozent auf</w:t>
      </w:r>
      <w:r>
        <w:rPr>
          <w:rFonts w:cs="Lucida Sans Unicode"/>
          <w:color w:val="000000"/>
          <w:szCs w:val="22"/>
        </w:rPr>
        <w:t xml:space="preserve"> </w:t>
      </w:r>
      <w:r w:rsidRPr="009C6C68">
        <w:rPr>
          <w:rFonts w:cs="Lucida Sans Unicode"/>
          <w:color w:val="000000"/>
          <w:szCs w:val="22"/>
        </w:rPr>
        <w:t>1</w:t>
      </w:r>
      <w:r>
        <w:rPr>
          <w:rFonts w:cs="Lucida Sans Unicode"/>
          <w:color w:val="000000"/>
          <w:szCs w:val="22"/>
        </w:rPr>
        <w:t>60</w:t>
      </w:r>
      <w:r w:rsidRPr="009C6C68">
        <w:rPr>
          <w:rFonts w:cs="Lucida Sans Unicode"/>
          <w:color w:val="000000"/>
          <w:szCs w:val="22"/>
        </w:rPr>
        <w:t xml:space="preserve"> Millionen € zurück. Das bereinigte Ergebnis je Aktie </w:t>
      </w:r>
      <w:r>
        <w:rPr>
          <w:rFonts w:cs="Lucida Sans Unicode"/>
          <w:color w:val="000000"/>
          <w:szCs w:val="22"/>
        </w:rPr>
        <w:t>verringerte sich</w:t>
      </w:r>
      <w:r w:rsidRPr="009C6C68">
        <w:rPr>
          <w:rFonts w:cs="Lucida Sans Unicode"/>
          <w:color w:val="000000"/>
          <w:szCs w:val="22"/>
        </w:rPr>
        <w:t xml:space="preserve"> von 0,</w:t>
      </w:r>
      <w:r>
        <w:rPr>
          <w:rFonts w:cs="Lucida Sans Unicode"/>
          <w:color w:val="000000"/>
          <w:szCs w:val="22"/>
        </w:rPr>
        <w:t>49</w:t>
      </w:r>
      <w:r w:rsidRPr="009C6C68">
        <w:rPr>
          <w:rFonts w:cs="Lucida Sans Unicode"/>
          <w:color w:val="000000"/>
          <w:szCs w:val="22"/>
        </w:rPr>
        <w:t xml:space="preserve"> € auf 0,</w:t>
      </w:r>
      <w:r>
        <w:rPr>
          <w:rFonts w:cs="Lucida Sans Unicode"/>
          <w:color w:val="000000"/>
          <w:szCs w:val="22"/>
        </w:rPr>
        <w:t>34</w:t>
      </w:r>
      <w:r w:rsidRPr="009C6C68">
        <w:rPr>
          <w:rFonts w:cs="Lucida Sans Unicode"/>
          <w:color w:val="000000"/>
          <w:szCs w:val="22"/>
        </w:rPr>
        <w:t xml:space="preserve"> €.</w:t>
      </w:r>
      <w:r>
        <w:rPr>
          <w:rFonts w:cs="Lucida Sans Unicode"/>
          <w:color w:val="000000"/>
          <w:szCs w:val="22"/>
        </w:rPr>
        <w:t xml:space="preserve"> </w:t>
      </w:r>
      <w:bookmarkStart w:id="2" w:name="_Hlk47337510"/>
      <w:r>
        <w:rPr>
          <w:szCs w:val="22"/>
        </w:rPr>
        <w:t>Der Free Cashflow war mit</w:t>
      </w:r>
      <w:r>
        <w:rPr>
          <w:rFonts w:cs="Lucida Sans Unicode"/>
          <w:color w:val="000000"/>
          <w:szCs w:val="22"/>
        </w:rPr>
        <w:t xml:space="preserve"> </w:t>
      </w:r>
      <w:r>
        <w:rPr>
          <w:szCs w:val="22"/>
        </w:rPr>
        <w:t xml:space="preserve">96 Millionen € deutlich positiv. Geringere Bonuszahlungen </w:t>
      </w:r>
      <w:r w:rsidR="007C701D">
        <w:rPr>
          <w:szCs w:val="22"/>
        </w:rPr>
        <w:t>sowie</w:t>
      </w:r>
      <w:bookmarkStart w:id="3" w:name="_GoBack"/>
      <w:bookmarkEnd w:id="3"/>
      <w:r>
        <w:rPr>
          <w:szCs w:val="22"/>
        </w:rPr>
        <w:t xml:space="preserve"> Steuererstattungen haben die Effekte aus dem niedrigeren operativen Ergebnis sowie einem Aufbau des Nettoumlaufvermögens mehr als kompensiert.</w:t>
      </w:r>
      <w:bookmarkEnd w:id="2"/>
    </w:p>
    <w:p w14:paraId="1A17156D" w14:textId="77777777" w:rsidR="00023CAA" w:rsidRPr="005070E7" w:rsidRDefault="00023CAA" w:rsidP="00023CAA">
      <w:pPr>
        <w:ind w:right="340"/>
        <w:rPr>
          <w:bCs/>
        </w:rPr>
      </w:pPr>
    </w:p>
    <w:p w14:paraId="029DA655" w14:textId="77777777" w:rsidR="00023CAA" w:rsidRDefault="00023CAA" w:rsidP="00023CAA">
      <w:pPr>
        <w:ind w:right="340"/>
      </w:pPr>
      <w:bookmarkStart w:id="4" w:name="_Hlk39573975"/>
      <w:r>
        <w:t xml:space="preserve">„In der </w:t>
      </w:r>
      <w:r w:rsidRPr="004B4F8C">
        <w:t xml:space="preserve">Krise </w:t>
      </w:r>
      <w:r>
        <w:t>zeichnen wir uns durch hohe Cash- und Kostendisziplin aus</w:t>
      </w:r>
      <w:r w:rsidRPr="004B4F8C">
        <w:t>“</w:t>
      </w:r>
      <w:r>
        <w:t>,</w:t>
      </w:r>
      <w:r w:rsidRPr="004B4F8C">
        <w:t xml:space="preserve"> sagt Finanzvorstand Ute Wolf. </w:t>
      </w:r>
      <w:r>
        <w:t>„Inzwischen sehen wir in einigen Märkten auch erste Erholungstendenzen. Von einer generellen wirtschaftlichen Erholung kann bislang aber noch keine Rede sein. Die Corona-Krise ist noch nicht überstanden.“</w:t>
      </w:r>
    </w:p>
    <w:bookmarkEnd w:id="1"/>
    <w:bookmarkEnd w:id="4"/>
    <w:p w14:paraId="7502B30A" w14:textId="77777777" w:rsidR="00023CAA" w:rsidRPr="009028B5" w:rsidRDefault="00023CAA" w:rsidP="00023CAA">
      <w:pPr>
        <w:ind w:right="340"/>
        <w:rPr>
          <w:color w:val="000000" w:themeColor="text1"/>
        </w:rPr>
      </w:pPr>
    </w:p>
    <w:p w14:paraId="039B6E44" w14:textId="77777777" w:rsidR="00023CAA" w:rsidRDefault="00023CAA" w:rsidP="00023CAA">
      <w:pPr>
        <w:ind w:right="340"/>
        <w:rPr>
          <w:szCs w:val="22"/>
        </w:rPr>
      </w:pPr>
      <w:r>
        <w:rPr>
          <w:szCs w:val="22"/>
        </w:rPr>
        <w:t xml:space="preserve">Für das Gesamtjahr 2020 bestätigt Evonik </w:t>
      </w:r>
      <w:r w:rsidRPr="002C0B1E">
        <w:rPr>
          <w:szCs w:val="22"/>
        </w:rPr>
        <w:t>den Ausblick</w:t>
      </w:r>
      <w:r>
        <w:rPr>
          <w:szCs w:val="22"/>
        </w:rPr>
        <w:t xml:space="preserve"> vom</w:t>
      </w:r>
    </w:p>
    <w:p w14:paraId="7CE1D2D5" w14:textId="77777777" w:rsidR="00023CAA" w:rsidRPr="002C0B1E" w:rsidRDefault="00023CAA" w:rsidP="00023CAA">
      <w:pPr>
        <w:ind w:right="340"/>
        <w:rPr>
          <w:szCs w:val="22"/>
        </w:rPr>
      </w:pPr>
      <w:r>
        <w:rPr>
          <w:szCs w:val="22"/>
        </w:rPr>
        <w:t>7. Mai</w:t>
      </w:r>
      <w:r w:rsidRPr="002C0B1E">
        <w:rPr>
          <w:szCs w:val="22"/>
        </w:rPr>
        <w:t xml:space="preserve">. Der Konzern erwartet </w:t>
      </w:r>
      <w:r>
        <w:rPr>
          <w:szCs w:val="22"/>
        </w:rPr>
        <w:t xml:space="preserve">weiterhin </w:t>
      </w:r>
      <w:r w:rsidRPr="002C0B1E">
        <w:rPr>
          <w:szCs w:val="22"/>
        </w:rPr>
        <w:t xml:space="preserve">einen Umsatz zwischen 11,5 und 13,0 Milliarden € sowie ein bereinigtes EBITDA zwischen 1,7 und 2,1 Milliarden €.  </w:t>
      </w:r>
    </w:p>
    <w:p w14:paraId="7E62350E" w14:textId="77777777" w:rsidR="00023CAA" w:rsidRDefault="00023CAA" w:rsidP="00023CAA">
      <w:pPr>
        <w:ind w:right="340"/>
        <w:rPr>
          <w:color w:val="000000" w:themeColor="text1"/>
          <w:szCs w:val="22"/>
        </w:rPr>
      </w:pPr>
    </w:p>
    <w:p w14:paraId="189A47B5" w14:textId="77777777" w:rsidR="00023CAA" w:rsidRDefault="00023CAA" w:rsidP="00023CAA">
      <w:pPr>
        <w:ind w:right="340"/>
      </w:pPr>
    </w:p>
    <w:p w14:paraId="71BDBAB3" w14:textId="77777777" w:rsidR="00023CAA" w:rsidRPr="00440E35" w:rsidRDefault="00023CAA" w:rsidP="00023CAA">
      <w:pPr>
        <w:ind w:right="340"/>
      </w:pPr>
      <w:r w:rsidRPr="00720877">
        <w:rPr>
          <w:b/>
        </w:rPr>
        <w:t>Entwicklung in den Segmenten</w:t>
      </w:r>
    </w:p>
    <w:p w14:paraId="16B05DF7" w14:textId="77777777" w:rsidR="00023CAA" w:rsidRPr="00720877" w:rsidRDefault="00023CAA" w:rsidP="00023CAA">
      <w:pPr>
        <w:ind w:right="340"/>
      </w:pPr>
    </w:p>
    <w:p w14:paraId="167145F7" w14:textId="77777777" w:rsidR="0082585C" w:rsidRDefault="00023CAA" w:rsidP="00023CAA">
      <w:pPr>
        <w:ind w:right="340"/>
        <w:rPr>
          <w:bCs/>
        </w:rPr>
      </w:pPr>
      <w:r w:rsidRPr="007C7CFA">
        <w:rPr>
          <w:b/>
        </w:rPr>
        <w:t>Resource Efficiency:</w:t>
      </w:r>
      <w:r w:rsidRPr="007C7CFA">
        <w:t xml:space="preserve"> </w:t>
      </w:r>
      <w:bookmarkStart w:id="5" w:name="_Hlk38536640"/>
      <w:r>
        <w:t xml:space="preserve">Im Segment </w:t>
      </w:r>
      <w:r w:rsidRPr="007C7CFA">
        <w:t xml:space="preserve">Resource Efficiency waren </w:t>
      </w:r>
      <w:r>
        <w:t xml:space="preserve">einzelne </w:t>
      </w:r>
      <w:r w:rsidRPr="007C7CFA">
        <w:t xml:space="preserve">Geschäfte </w:t>
      </w:r>
      <w:r>
        <w:t xml:space="preserve">deutlich vom Rückgang der Nachfrage betroffen, andere behaupteten sich stabil. </w:t>
      </w:r>
      <w:r>
        <w:rPr>
          <w:bCs/>
        </w:rPr>
        <w:t>Bei den Vernetzern (Crosslinkers) verzeichneten Produkte für den Windenergiemarkt sogar eine höhere Nachfrage. Auch der Umsatz der Aktivsauerstoffprodukte stieg aufgrund der erstmaligen Einbeziehung von PeroxyChem, dem Anfang Februar</w:t>
      </w:r>
      <w:r w:rsidR="0082585C">
        <w:rPr>
          <w:bCs/>
        </w:rPr>
        <w:t xml:space="preserve"> </w:t>
      </w:r>
      <w:r>
        <w:rPr>
          <w:bCs/>
        </w:rPr>
        <w:t xml:space="preserve">erworbenen, US-amerikanischen Hersteller von Wasserstoffperoxid und Peressigsäure, sowie einer guten Entwicklung bei den Spezialitäten, etwa für Desinfektionsmittel. </w:t>
      </w:r>
      <w:bookmarkStart w:id="6" w:name="_Hlk38621517"/>
      <w:r>
        <w:rPr>
          <w:bCs/>
        </w:rPr>
        <w:t xml:space="preserve">Dagegen führten die weltweite konjunkturelle Abschwächung sowie Einschränkungen der Produktion von Kunden, insbesondere im Automobilbereich, zu einem Mengenrückgang in den Geschäften mit Hochleistungskunststoffen sowie mit Kieselsäuren und Silanen für die Reifenindustrie. </w:t>
      </w:r>
    </w:p>
    <w:p w14:paraId="071186CE" w14:textId="14BC4A0B" w:rsidR="00023CAA" w:rsidRDefault="00023CAA" w:rsidP="00023CAA">
      <w:pPr>
        <w:ind w:right="340"/>
        <w:rPr>
          <w:bCs/>
        </w:rPr>
      </w:pPr>
      <w:r>
        <w:rPr>
          <w:bCs/>
        </w:rPr>
        <w:lastRenderedPageBreak/>
        <w:t xml:space="preserve">Auch die Nachfrage nach Öladditiven ging zurück. </w:t>
      </w:r>
      <w:bookmarkEnd w:id="6"/>
      <w:r w:rsidRPr="00EE08AC">
        <w:rPr>
          <w:bCs/>
        </w:rPr>
        <w:t xml:space="preserve">Der Umsatz </w:t>
      </w:r>
      <w:r>
        <w:rPr>
          <w:bCs/>
        </w:rPr>
        <w:t xml:space="preserve">von Resource Efficiency ging insgesamt </w:t>
      </w:r>
      <w:r w:rsidRPr="00EE08AC">
        <w:rPr>
          <w:bCs/>
        </w:rPr>
        <w:t xml:space="preserve">im </w:t>
      </w:r>
      <w:r>
        <w:rPr>
          <w:bCs/>
        </w:rPr>
        <w:t>zweiten</w:t>
      </w:r>
      <w:r w:rsidRPr="00EE08AC">
        <w:rPr>
          <w:bCs/>
        </w:rPr>
        <w:t xml:space="preserve"> Quartal </w:t>
      </w:r>
      <w:r>
        <w:rPr>
          <w:bCs/>
        </w:rPr>
        <w:t>um</w:t>
      </w:r>
    </w:p>
    <w:p w14:paraId="466D378C" w14:textId="77777777" w:rsidR="00023CAA" w:rsidRPr="007C7CFA" w:rsidRDefault="00023CAA" w:rsidP="00023CAA">
      <w:pPr>
        <w:ind w:right="340"/>
      </w:pPr>
      <w:r>
        <w:rPr>
          <w:bCs/>
        </w:rPr>
        <w:t xml:space="preserve">14 Prozent auf </w:t>
      </w:r>
      <w:r w:rsidRPr="00EE08AC">
        <w:rPr>
          <w:bCs/>
        </w:rPr>
        <w:t>1</w:t>
      </w:r>
      <w:r>
        <w:rPr>
          <w:bCs/>
        </w:rPr>
        <w:t>,24</w:t>
      </w:r>
      <w:r w:rsidRPr="00EE08AC">
        <w:rPr>
          <w:bCs/>
        </w:rPr>
        <w:t> Milli</w:t>
      </w:r>
      <w:r>
        <w:rPr>
          <w:bCs/>
        </w:rPr>
        <w:t>arden</w:t>
      </w:r>
      <w:r w:rsidRPr="00EE08AC">
        <w:rPr>
          <w:bCs/>
        </w:rPr>
        <w:t xml:space="preserve"> € </w:t>
      </w:r>
      <w:r>
        <w:rPr>
          <w:bCs/>
        </w:rPr>
        <w:t>und das bereinigte EBITDA um 22 Prozent auf 255 Millionen € zurück.</w:t>
      </w:r>
    </w:p>
    <w:bookmarkEnd w:id="5"/>
    <w:p w14:paraId="66F8BDDD" w14:textId="77777777" w:rsidR="00023CAA" w:rsidRPr="00C02CFC" w:rsidRDefault="00023CAA" w:rsidP="00023CAA">
      <w:pPr>
        <w:ind w:right="340"/>
      </w:pPr>
    </w:p>
    <w:p w14:paraId="6F98B67A" w14:textId="77777777" w:rsidR="00023CAA" w:rsidRPr="00C02CFC" w:rsidRDefault="00023CAA" w:rsidP="00023CAA">
      <w:pPr>
        <w:ind w:right="340"/>
      </w:pPr>
      <w:r w:rsidRPr="00C02CFC">
        <w:rPr>
          <w:b/>
        </w:rPr>
        <w:t>Nutrition &amp; Care:</w:t>
      </w:r>
      <w:r w:rsidRPr="00C02CFC">
        <w:t xml:space="preserve"> </w:t>
      </w:r>
      <w:r>
        <w:t xml:space="preserve">Das Segment Nutrition &amp; Care behauptet sich gut. Der Umsatz verringerte sich im zweiten Quartal lediglich um 4 Prozent auf 1,09 Milliarden €. Das bereinigte EBITDA verbesserte sich um 14 Prozent auf 217 Millionen €. Die essenziellen Aminosäuren für die Tierernährung profitierten von höheren Verkaufspreisen und einer gestiegenen Mengennachfrage. Das Health-Care-Geschäft verzeichnete erneut eine erfreuliche Entwicklung bei Pharma und Food Ingredients sowie Pharma Polymeren. Additive für Polyurethanschäume verspürten dagegen eine rückläufige Nachfrage. </w:t>
      </w:r>
    </w:p>
    <w:p w14:paraId="509D5570" w14:textId="77777777" w:rsidR="00023CAA" w:rsidRPr="00C02CFC" w:rsidRDefault="00023CAA" w:rsidP="00023CAA">
      <w:pPr>
        <w:ind w:right="340"/>
      </w:pPr>
    </w:p>
    <w:p w14:paraId="3EE391EA" w14:textId="77777777" w:rsidR="00023CAA" w:rsidRDefault="00023CAA" w:rsidP="00023CAA">
      <w:pPr>
        <w:ind w:right="340"/>
        <w:rPr>
          <w:bCs/>
        </w:rPr>
      </w:pPr>
      <w:r w:rsidRPr="00C02CFC">
        <w:rPr>
          <w:b/>
        </w:rPr>
        <w:t>Performance Materials:</w:t>
      </w:r>
      <w:r w:rsidRPr="00C02CFC">
        <w:t xml:space="preserve"> </w:t>
      </w:r>
      <w:r w:rsidRPr="003444A8">
        <w:rPr>
          <w:bCs/>
        </w:rPr>
        <w:t xml:space="preserve">Im Segment Performance Materials </w:t>
      </w:r>
      <w:r>
        <w:rPr>
          <w:bCs/>
        </w:rPr>
        <w:t xml:space="preserve">verringerte </w:t>
      </w:r>
      <w:r w:rsidRPr="003444A8">
        <w:rPr>
          <w:bCs/>
        </w:rPr>
        <w:t xml:space="preserve">sich der Umsatz im </w:t>
      </w:r>
      <w:r>
        <w:rPr>
          <w:bCs/>
        </w:rPr>
        <w:t>zweiten</w:t>
      </w:r>
      <w:r w:rsidRPr="003444A8">
        <w:rPr>
          <w:bCs/>
        </w:rPr>
        <w:t xml:space="preserve"> Quartal um </w:t>
      </w:r>
      <w:r>
        <w:rPr>
          <w:bCs/>
        </w:rPr>
        <w:t>42</w:t>
      </w:r>
      <w:r w:rsidRPr="003444A8">
        <w:rPr>
          <w:bCs/>
        </w:rPr>
        <w:t xml:space="preserve"> Prozent auf </w:t>
      </w:r>
      <w:r>
        <w:rPr>
          <w:bCs/>
        </w:rPr>
        <w:t>319</w:t>
      </w:r>
      <w:r w:rsidRPr="009C55BC">
        <w:rPr>
          <w:bCs/>
        </w:rPr>
        <w:t> Millionen €</w:t>
      </w:r>
      <w:r w:rsidRPr="003444A8">
        <w:rPr>
          <w:bCs/>
        </w:rPr>
        <w:t xml:space="preserve">. </w:t>
      </w:r>
      <w:bookmarkStart w:id="7" w:name="_Hlk38621556"/>
      <w:r>
        <w:rPr>
          <w:bCs/>
        </w:rPr>
        <w:t xml:space="preserve">Die rückläufige Nachfrage insbesondere aus der Automobil- und Kraftstoffindustrie traf besonders </w:t>
      </w:r>
      <w:r w:rsidRPr="003444A8">
        <w:rPr>
          <w:bCs/>
        </w:rPr>
        <w:t>Performance Intermediates</w:t>
      </w:r>
      <w:r>
        <w:rPr>
          <w:bCs/>
        </w:rPr>
        <w:t>. Zudem belastete der massive Rückgang des Ölpreises das Geschäft. Auch der Umsatz von Functional Solutions ging nachfragebedingt zurück</w:t>
      </w:r>
      <w:bookmarkEnd w:id="7"/>
      <w:r w:rsidRPr="003444A8">
        <w:rPr>
          <w:bCs/>
        </w:rPr>
        <w:t xml:space="preserve">. </w:t>
      </w:r>
      <w:r>
        <w:rPr>
          <w:bCs/>
        </w:rPr>
        <w:t>Das bereinigte EBITDA des Segments sank um 85 Prozent auf</w:t>
      </w:r>
    </w:p>
    <w:p w14:paraId="3B618AE3" w14:textId="77777777" w:rsidR="00023CAA" w:rsidRPr="003444A8" w:rsidRDefault="00023CAA" w:rsidP="00023CAA">
      <w:pPr>
        <w:ind w:right="340"/>
        <w:rPr>
          <w:bCs/>
        </w:rPr>
      </w:pPr>
      <w:r>
        <w:rPr>
          <w:bCs/>
        </w:rPr>
        <w:t>11 Millionen €.</w:t>
      </w:r>
    </w:p>
    <w:p w14:paraId="2819E7E1" w14:textId="77777777" w:rsidR="00023CAA" w:rsidRDefault="00023CAA" w:rsidP="00023CAA">
      <w:pPr>
        <w:spacing w:line="240" w:lineRule="auto"/>
        <w:ind w:right="340"/>
      </w:pPr>
    </w:p>
    <w:p w14:paraId="04E16C2C" w14:textId="77777777" w:rsidR="00023CAA" w:rsidRDefault="00023CAA" w:rsidP="00023CAA">
      <w:pPr>
        <w:spacing w:line="240" w:lineRule="auto"/>
      </w:pPr>
    </w:p>
    <w:p w14:paraId="56FF87C2" w14:textId="77777777" w:rsidR="00023CAA" w:rsidRDefault="00023CAA" w:rsidP="00023CAA">
      <w:pPr>
        <w:spacing w:line="240" w:lineRule="auto"/>
      </w:pPr>
    </w:p>
    <w:tbl>
      <w:tblPr>
        <w:tblW w:w="9752" w:type="dxa"/>
        <w:tblLayout w:type="fixed"/>
        <w:tblCellMar>
          <w:left w:w="0" w:type="dxa"/>
          <w:right w:w="0" w:type="dxa"/>
        </w:tblCellMar>
        <w:tblLook w:val="0000" w:firstRow="0" w:lastRow="0" w:firstColumn="0" w:lastColumn="0" w:noHBand="0" w:noVBand="0"/>
        <w:tblDescription w:val="SNEID_250ca3b64aa94614a8a6197eaf07ebdb"/>
      </w:tblPr>
      <w:tblGrid>
        <w:gridCol w:w="2912"/>
        <w:gridCol w:w="119"/>
        <w:gridCol w:w="1021"/>
        <w:gridCol w:w="119"/>
        <w:gridCol w:w="1021"/>
        <w:gridCol w:w="119"/>
        <w:gridCol w:w="1021"/>
        <w:gridCol w:w="119"/>
        <w:gridCol w:w="1021"/>
        <w:gridCol w:w="119"/>
        <w:gridCol w:w="1021"/>
        <w:gridCol w:w="119"/>
        <w:gridCol w:w="1021"/>
      </w:tblGrid>
      <w:tr w:rsidR="00023CAA" w14:paraId="02841CD5" w14:textId="77777777" w:rsidTr="00804D18">
        <w:tc>
          <w:tcPr>
            <w:tcW w:w="6332" w:type="dxa"/>
            <w:gridSpan w:val="7"/>
            <w:noWrap/>
            <w:vAlign w:val="bottom"/>
          </w:tcPr>
          <w:p w14:paraId="24080B06" w14:textId="77777777" w:rsidR="00023CAA" w:rsidRDefault="00023CAA" w:rsidP="00804D18">
            <w:pPr>
              <w:pStyle w:val="TTitleText"/>
            </w:pPr>
            <w:r>
              <w:lastRenderedPageBreak/>
              <w:t>Ergebnisrechnung im Überblick</w:t>
            </w:r>
          </w:p>
        </w:tc>
        <w:tc>
          <w:tcPr>
            <w:tcW w:w="119" w:type="dxa"/>
            <w:noWrap/>
            <w:vAlign w:val="bottom"/>
          </w:tcPr>
          <w:p w14:paraId="639BAE15" w14:textId="77777777" w:rsidR="00023CAA" w:rsidRDefault="00023CAA" w:rsidP="00804D18">
            <w:pPr>
              <w:pStyle w:val="TTitleText"/>
            </w:pPr>
          </w:p>
        </w:tc>
        <w:tc>
          <w:tcPr>
            <w:tcW w:w="1021" w:type="dxa"/>
            <w:noWrap/>
            <w:vAlign w:val="bottom"/>
          </w:tcPr>
          <w:p w14:paraId="667251B7" w14:textId="77777777" w:rsidR="00023CAA" w:rsidRDefault="00023CAA" w:rsidP="00804D18">
            <w:pPr>
              <w:pStyle w:val="TTitleText"/>
            </w:pPr>
          </w:p>
        </w:tc>
        <w:tc>
          <w:tcPr>
            <w:tcW w:w="119" w:type="dxa"/>
            <w:noWrap/>
            <w:vAlign w:val="bottom"/>
          </w:tcPr>
          <w:p w14:paraId="4AB5BD82" w14:textId="77777777" w:rsidR="00023CAA" w:rsidRDefault="00023CAA" w:rsidP="00804D18">
            <w:pPr>
              <w:pStyle w:val="TTitleText"/>
            </w:pPr>
          </w:p>
        </w:tc>
        <w:tc>
          <w:tcPr>
            <w:tcW w:w="1021" w:type="dxa"/>
            <w:noWrap/>
            <w:vAlign w:val="bottom"/>
          </w:tcPr>
          <w:p w14:paraId="393410E0" w14:textId="77777777" w:rsidR="00023CAA" w:rsidRDefault="00023CAA" w:rsidP="00804D18">
            <w:pPr>
              <w:pStyle w:val="TTitleText"/>
            </w:pPr>
          </w:p>
        </w:tc>
        <w:tc>
          <w:tcPr>
            <w:tcW w:w="119" w:type="dxa"/>
            <w:tcBorders>
              <w:bottom w:val="single" w:sz="4" w:space="0" w:color="auto"/>
            </w:tcBorders>
            <w:noWrap/>
            <w:vAlign w:val="bottom"/>
          </w:tcPr>
          <w:p w14:paraId="1D782364" w14:textId="77777777" w:rsidR="00023CAA" w:rsidRDefault="00023CAA" w:rsidP="00804D18">
            <w:pPr>
              <w:pStyle w:val="TTitleText"/>
            </w:pPr>
          </w:p>
        </w:tc>
        <w:tc>
          <w:tcPr>
            <w:tcW w:w="1021" w:type="dxa"/>
            <w:tcBorders>
              <w:bottom w:val="single" w:sz="4" w:space="0" w:color="auto"/>
            </w:tcBorders>
            <w:noWrap/>
            <w:vAlign w:val="bottom"/>
          </w:tcPr>
          <w:p w14:paraId="24F267C8" w14:textId="77777777" w:rsidR="00023CAA" w:rsidRDefault="00023CAA" w:rsidP="00804D18">
            <w:pPr>
              <w:pStyle w:val="TTitleText"/>
            </w:pPr>
          </w:p>
        </w:tc>
      </w:tr>
      <w:tr w:rsidR="00023CAA" w14:paraId="4816FE1E" w14:textId="77777777" w:rsidTr="00804D18">
        <w:tc>
          <w:tcPr>
            <w:tcW w:w="2912" w:type="dxa"/>
            <w:tcBorders>
              <w:top w:val="single" w:sz="8" w:space="0" w:color="000000"/>
            </w:tcBorders>
            <w:noWrap/>
            <w:vAlign w:val="bottom"/>
          </w:tcPr>
          <w:p w14:paraId="2152BB32" w14:textId="77777777" w:rsidR="00023CAA" w:rsidRDefault="00023CAA" w:rsidP="00804D18">
            <w:pPr>
              <w:pStyle w:val="TDummy"/>
              <w:keepNext/>
            </w:pPr>
          </w:p>
        </w:tc>
        <w:tc>
          <w:tcPr>
            <w:tcW w:w="119" w:type="dxa"/>
            <w:tcBorders>
              <w:top w:val="single" w:sz="8" w:space="0" w:color="000000"/>
            </w:tcBorders>
            <w:noWrap/>
            <w:vAlign w:val="bottom"/>
          </w:tcPr>
          <w:p w14:paraId="7DE44042" w14:textId="77777777" w:rsidR="00023CAA" w:rsidRDefault="00023CAA" w:rsidP="00804D18">
            <w:pPr>
              <w:pStyle w:val="TDummy"/>
              <w:keepNext/>
            </w:pPr>
          </w:p>
        </w:tc>
        <w:tc>
          <w:tcPr>
            <w:tcW w:w="1021" w:type="dxa"/>
            <w:tcBorders>
              <w:top w:val="single" w:sz="8" w:space="0" w:color="000000"/>
            </w:tcBorders>
            <w:noWrap/>
            <w:vAlign w:val="bottom"/>
          </w:tcPr>
          <w:p w14:paraId="388225AE" w14:textId="77777777" w:rsidR="00023CAA" w:rsidRDefault="00023CAA" w:rsidP="00804D18">
            <w:pPr>
              <w:pStyle w:val="TDummy"/>
              <w:keepNext/>
            </w:pPr>
          </w:p>
        </w:tc>
        <w:tc>
          <w:tcPr>
            <w:tcW w:w="119" w:type="dxa"/>
            <w:tcBorders>
              <w:top w:val="single" w:sz="8" w:space="0" w:color="000000"/>
            </w:tcBorders>
            <w:noWrap/>
            <w:vAlign w:val="bottom"/>
          </w:tcPr>
          <w:p w14:paraId="73EC47DE" w14:textId="77777777" w:rsidR="00023CAA" w:rsidRDefault="00023CAA" w:rsidP="00804D18">
            <w:pPr>
              <w:pStyle w:val="TDummy"/>
              <w:keepNext/>
            </w:pPr>
          </w:p>
        </w:tc>
        <w:tc>
          <w:tcPr>
            <w:tcW w:w="1021" w:type="dxa"/>
            <w:tcBorders>
              <w:top w:val="single" w:sz="8" w:space="0" w:color="000000"/>
            </w:tcBorders>
            <w:noWrap/>
            <w:vAlign w:val="bottom"/>
          </w:tcPr>
          <w:p w14:paraId="4A8E10AD" w14:textId="77777777" w:rsidR="00023CAA" w:rsidRDefault="00023CAA" w:rsidP="00804D18">
            <w:pPr>
              <w:pStyle w:val="TDummy"/>
              <w:keepNext/>
            </w:pPr>
          </w:p>
        </w:tc>
        <w:tc>
          <w:tcPr>
            <w:tcW w:w="119" w:type="dxa"/>
            <w:tcBorders>
              <w:top w:val="single" w:sz="8" w:space="0" w:color="000000"/>
            </w:tcBorders>
            <w:noWrap/>
            <w:vAlign w:val="bottom"/>
          </w:tcPr>
          <w:p w14:paraId="47228E98" w14:textId="77777777" w:rsidR="00023CAA" w:rsidRDefault="00023CAA" w:rsidP="00804D18">
            <w:pPr>
              <w:pStyle w:val="TDummy"/>
              <w:keepNext/>
            </w:pPr>
          </w:p>
        </w:tc>
        <w:tc>
          <w:tcPr>
            <w:tcW w:w="1021" w:type="dxa"/>
            <w:tcBorders>
              <w:top w:val="single" w:sz="8" w:space="0" w:color="000000"/>
            </w:tcBorders>
            <w:noWrap/>
            <w:vAlign w:val="bottom"/>
          </w:tcPr>
          <w:p w14:paraId="13C53D94" w14:textId="77777777" w:rsidR="00023CAA" w:rsidRDefault="00023CAA" w:rsidP="00804D18">
            <w:pPr>
              <w:pStyle w:val="TDummy"/>
              <w:keepNext/>
            </w:pPr>
          </w:p>
        </w:tc>
        <w:tc>
          <w:tcPr>
            <w:tcW w:w="119" w:type="dxa"/>
            <w:tcBorders>
              <w:top w:val="single" w:sz="4" w:space="0" w:color="auto"/>
            </w:tcBorders>
            <w:noWrap/>
            <w:vAlign w:val="bottom"/>
          </w:tcPr>
          <w:p w14:paraId="10D820DF" w14:textId="77777777" w:rsidR="00023CAA" w:rsidRDefault="00023CAA" w:rsidP="00804D18">
            <w:pPr>
              <w:pStyle w:val="TDummy"/>
              <w:keepNext/>
            </w:pPr>
          </w:p>
        </w:tc>
        <w:tc>
          <w:tcPr>
            <w:tcW w:w="1021" w:type="dxa"/>
            <w:tcBorders>
              <w:top w:val="single" w:sz="4" w:space="0" w:color="auto"/>
            </w:tcBorders>
            <w:noWrap/>
            <w:vAlign w:val="bottom"/>
          </w:tcPr>
          <w:p w14:paraId="4E71D723" w14:textId="77777777" w:rsidR="00023CAA" w:rsidRDefault="00023CAA" w:rsidP="00804D18">
            <w:pPr>
              <w:pStyle w:val="TDummy"/>
              <w:keepNext/>
            </w:pPr>
          </w:p>
        </w:tc>
        <w:tc>
          <w:tcPr>
            <w:tcW w:w="119" w:type="dxa"/>
            <w:tcBorders>
              <w:top w:val="single" w:sz="4" w:space="0" w:color="auto"/>
            </w:tcBorders>
            <w:noWrap/>
            <w:vAlign w:val="bottom"/>
          </w:tcPr>
          <w:p w14:paraId="0057488A" w14:textId="77777777" w:rsidR="00023CAA" w:rsidRDefault="00023CAA" w:rsidP="00804D18">
            <w:pPr>
              <w:pStyle w:val="TDummy"/>
              <w:keepNext/>
            </w:pPr>
          </w:p>
        </w:tc>
        <w:tc>
          <w:tcPr>
            <w:tcW w:w="1021" w:type="dxa"/>
            <w:tcBorders>
              <w:top w:val="single" w:sz="4" w:space="0" w:color="auto"/>
            </w:tcBorders>
            <w:noWrap/>
            <w:vAlign w:val="bottom"/>
          </w:tcPr>
          <w:p w14:paraId="2F867C0C" w14:textId="77777777" w:rsidR="00023CAA" w:rsidRDefault="00023CAA" w:rsidP="00804D18">
            <w:pPr>
              <w:pStyle w:val="TDummy"/>
              <w:keepNext/>
            </w:pPr>
          </w:p>
        </w:tc>
        <w:tc>
          <w:tcPr>
            <w:tcW w:w="119" w:type="dxa"/>
            <w:tcBorders>
              <w:top w:val="single" w:sz="4" w:space="0" w:color="auto"/>
            </w:tcBorders>
            <w:noWrap/>
            <w:vAlign w:val="bottom"/>
          </w:tcPr>
          <w:p w14:paraId="5551AEC1" w14:textId="77777777" w:rsidR="00023CAA" w:rsidRDefault="00023CAA" w:rsidP="00804D18">
            <w:pPr>
              <w:pStyle w:val="TBodynormalNumber"/>
              <w:keepNext/>
            </w:pPr>
          </w:p>
        </w:tc>
        <w:tc>
          <w:tcPr>
            <w:tcW w:w="1021" w:type="dxa"/>
            <w:tcBorders>
              <w:top w:val="single" w:sz="4" w:space="0" w:color="auto"/>
            </w:tcBorders>
            <w:noWrap/>
            <w:vAlign w:val="bottom"/>
          </w:tcPr>
          <w:p w14:paraId="39A9F489" w14:textId="77777777" w:rsidR="00023CAA" w:rsidRDefault="00023CAA" w:rsidP="00804D18">
            <w:pPr>
              <w:pStyle w:val="TBodynormalNumber"/>
              <w:keepNext/>
            </w:pPr>
          </w:p>
        </w:tc>
      </w:tr>
      <w:tr w:rsidR="00023CAA" w14:paraId="1092450A" w14:textId="77777777" w:rsidTr="00804D18">
        <w:tc>
          <w:tcPr>
            <w:tcW w:w="2912" w:type="dxa"/>
            <w:shd w:val="clear" w:color="000000" w:fill="FFFFFF"/>
            <w:noWrap/>
            <w:vAlign w:val="bottom"/>
          </w:tcPr>
          <w:p w14:paraId="351F9047" w14:textId="77777777" w:rsidR="00023CAA" w:rsidRDefault="00023CAA" w:rsidP="00804D18">
            <w:pPr>
              <w:pStyle w:val="THeadfirstNumber"/>
            </w:pPr>
            <w:bookmarkStart w:id="8" w:name="RANGE!B6:N6"/>
            <w:bookmarkStart w:id="9" w:name="RANGE!B6"/>
            <w:bookmarkEnd w:id="8"/>
            <w:bookmarkEnd w:id="9"/>
          </w:p>
        </w:tc>
        <w:tc>
          <w:tcPr>
            <w:tcW w:w="119" w:type="dxa"/>
            <w:noWrap/>
            <w:vAlign w:val="bottom"/>
          </w:tcPr>
          <w:p w14:paraId="16EEC34B" w14:textId="77777777" w:rsidR="00023CAA" w:rsidRDefault="00023CAA" w:rsidP="00804D18">
            <w:pPr>
              <w:pStyle w:val="THeadfirstNumber"/>
            </w:pPr>
          </w:p>
        </w:tc>
        <w:tc>
          <w:tcPr>
            <w:tcW w:w="3301" w:type="dxa"/>
            <w:gridSpan w:val="5"/>
            <w:tcBorders>
              <w:bottom w:val="single" w:sz="4" w:space="0" w:color="A59C94"/>
            </w:tcBorders>
            <w:shd w:val="clear" w:color="000000" w:fill="FFFFFF"/>
            <w:noWrap/>
            <w:vAlign w:val="bottom"/>
          </w:tcPr>
          <w:p w14:paraId="60C6E35E" w14:textId="77777777" w:rsidR="00023CAA" w:rsidRDefault="00023CAA" w:rsidP="00804D18">
            <w:pPr>
              <w:pStyle w:val="THeadfirstNumber"/>
            </w:pPr>
            <w:r>
              <w:t>2. Quartal</w:t>
            </w:r>
          </w:p>
        </w:tc>
        <w:tc>
          <w:tcPr>
            <w:tcW w:w="119" w:type="dxa"/>
            <w:noWrap/>
            <w:vAlign w:val="bottom"/>
          </w:tcPr>
          <w:p w14:paraId="490D8628" w14:textId="77777777" w:rsidR="00023CAA" w:rsidRDefault="00023CAA" w:rsidP="00804D18">
            <w:pPr>
              <w:pStyle w:val="THeadfirstNumber"/>
            </w:pPr>
          </w:p>
        </w:tc>
        <w:tc>
          <w:tcPr>
            <w:tcW w:w="3301" w:type="dxa"/>
            <w:gridSpan w:val="5"/>
            <w:tcBorders>
              <w:bottom w:val="single" w:sz="4" w:space="0" w:color="A59C94"/>
            </w:tcBorders>
            <w:shd w:val="clear" w:color="000000" w:fill="FFFFFF"/>
            <w:noWrap/>
            <w:vAlign w:val="bottom"/>
          </w:tcPr>
          <w:p w14:paraId="26E093C9" w14:textId="77777777" w:rsidR="00023CAA" w:rsidRDefault="00023CAA" w:rsidP="00804D18">
            <w:pPr>
              <w:pStyle w:val="THeadfirstNumber"/>
            </w:pPr>
            <w:r>
              <w:t>1. Halbjahr</w:t>
            </w:r>
          </w:p>
        </w:tc>
      </w:tr>
      <w:tr w:rsidR="00023CAA" w14:paraId="08196ED2" w14:textId="77777777" w:rsidTr="00804D18">
        <w:tc>
          <w:tcPr>
            <w:tcW w:w="2912" w:type="dxa"/>
            <w:tcBorders>
              <w:bottom w:val="single" w:sz="4" w:space="0" w:color="A59C94"/>
            </w:tcBorders>
            <w:shd w:val="clear" w:color="000000" w:fill="FFFFFF"/>
            <w:noWrap/>
            <w:vAlign w:val="bottom"/>
          </w:tcPr>
          <w:p w14:paraId="566F3AE4" w14:textId="77777777" w:rsidR="00023CAA" w:rsidRDefault="00023CAA" w:rsidP="00804D18">
            <w:pPr>
              <w:pStyle w:val="THeadlastText"/>
            </w:pPr>
            <w:bookmarkStart w:id="10" w:name="RANGE!B7:N7"/>
            <w:bookmarkEnd w:id="10"/>
            <w:r>
              <w:t>in Millionen €</w:t>
            </w:r>
          </w:p>
        </w:tc>
        <w:tc>
          <w:tcPr>
            <w:tcW w:w="119" w:type="dxa"/>
            <w:noWrap/>
            <w:vAlign w:val="bottom"/>
          </w:tcPr>
          <w:p w14:paraId="043327C1"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3988D24F" w14:textId="77777777" w:rsidR="00023CAA" w:rsidRDefault="00023CAA" w:rsidP="00804D18">
            <w:pPr>
              <w:pStyle w:val="THeadlastNumber"/>
            </w:pPr>
            <w:r>
              <w:t>2019</w:t>
            </w:r>
          </w:p>
        </w:tc>
        <w:tc>
          <w:tcPr>
            <w:tcW w:w="119" w:type="dxa"/>
            <w:vAlign w:val="center"/>
          </w:tcPr>
          <w:p w14:paraId="50F8E735"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77CAB32B" w14:textId="77777777" w:rsidR="00023CAA" w:rsidRDefault="00023CAA" w:rsidP="00804D18">
            <w:pPr>
              <w:pStyle w:val="THeadlastNumberbold"/>
            </w:pPr>
            <w:bookmarkStart w:id="11" w:name="RANGE!F7:F20"/>
            <w:bookmarkEnd w:id="11"/>
            <w:r>
              <w:t>2020</w:t>
            </w:r>
          </w:p>
        </w:tc>
        <w:tc>
          <w:tcPr>
            <w:tcW w:w="119" w:type="dxa"/>
            <w:vAlign w:val="center"/>
          </w:tcPr>
          <w:p w14:paraId="36486D6F"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139B1C0F" w14:textId="77777777" w:rsidR="00023CAA" w:rsidRDefault="00023CAA" w:rsidP="00804D18">
            <w:pPr>
              <w:pStyle w:val="THeaddifferenceNumber"/>
              <w:keepNext/>
            </w:pPr>
            <w:bookmarkStart w:id="12" w:name="RANGE!H7:H20"/>
            <w:bookmarkEnd w:id="12"/>
            <w:r>
              <w:t>Veränd. in %</w:t>
            </w:r>
          </w:p>
        </w:tc>
        <w:tc>
          <w:tcPr>
            <w:tcW w:w="119" w:type="dxa"/>
            <w:vAlign w:val="center"/>
          </w:tcPr>
          <w:p w14:paraId="40903208"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76DC3ACA" w14:textId="77777777" w:rsidR="00023CAA" w:rsidRDefault="00023CAA" w:rsidP="00804D18">
            <w:pPr>
              <w:pStyle w:val="THeadlastNumber"/>
            </w:pPr>
            <w:r>
              <w:t>2019</w:t>
            </w:r>
          </w:p>
        </w:tc>
        <w:tc>
          <w:tcPr>
            <w:tcW w:w="119" w:type="dxa"/>
            <w:vAlign w:val="center"/>
          </w:tcPr>
          <w:p w14:paraId="79C84812"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1381E1F0" w14:textId="77777777" w:rsidR="00023CAA" w:rsidRDefault="00023CAA" w:rsidP="00804D18">
            <w:pPr>
              <w:pStyle w:val="THeadlastNumberbold"/>
            </w:pPr>
            <w:bookmarkStart w:id="13" w:name="RANGE!L7:L20"/>
            <w:bookmarkEnd w:id="13"/>
            <w:r>
              <w:t>2020</w:t>
            </w:r>
          </w:p>
        </w:tc>
        <w:tc>
          <w:tcPr>
            <w:tcW w:w="119" w:type="dxa"/>
            <w:vAlign w:val="center"/>
          </w:tcPr>
          <w:p w14:paraId="78C5705A" w14:textId="77777777" w:rsidR="00023CAA" w:rsidRDefault="00023CAA" w:rsidP="00804D18">
            <w:pPr>
              <w:pStyle w:val="TBodynormalNumber"/>
              <w:keepNext/>
            </w:pPr>
          </w:p>
        </w:tc>
        <w:tc>
          <w:tcPr>
            <w:tcW w:w="1021" w:type="dxa"/>
            <w:tcBorders>
              <w:top w:val="single" w:sz="4" w:space="0" w:color="A59C94"/>
              <w:bottom w:val="single" w:sz="4" w:space="0" w:color="A59C94"/>
            </w:tcBorders>
            <w:vAlign w:val="center"/>
          </w:tcPr>
          <w:p w14:paraId="4974276D" w14:textId="77777777" w:rsidR="00023CAA" w:rsidRDefault="00023CAA" w:rsidP="00804D18">
            <w:pPr>
              <w:pStyle w:val="TBodynormalNumber"/>
              <w:keepNext/>
            </w:pPr>
            <w:bookmarkStart w:id="14" w:name="RANGE!N7:N20"/>
            <w:bookmarkEnd w:id="14"/>
            <w:r>
              <w:t>Veränd. in %</w:t>
            </w:r>
          </w:p>
        </w:tc>
      </w:tr>
      <w:tr w:rsidR="00023CAA" w14:paraId="2C9F891B" w14:textId="77777777" w:rsidTr="00804D18">
        <w:tc>
          <w:tcPr>
            <w:tcW w:w="2912" w:type="dxa"/>
            <w:tcBorders>
              <w:top w:val="single" w:sz="4" w:space="0" w:color="A59C94"/>
              <w:bottom w:val="single" w:sz="4" w:space="0" w:color="A59C94"/>
            </w:tcBorders>
            <w:noWrap/>
            <w:vAlign w:val="bottom"/>
          </w:tcPr>
          <w:p w14:paraId="52BD292F" w14:textId="77777777" w:rsidR="00023CAA" w:rsidRDefault="00023CAA" w:rsidP="00804D18">
            <w:pPr>
              <w:pStyle w:val="TBodysubtotalText"/>
              <w:keepNext/>
            </w:pPr>
            <w:bookmarkStart w:id="15" w:name="RANGE!B8:N10"/>
            <w:bookmarkEnd w:id="15"/>
            <w:r>
              <w:t>Umsatz</w:t>
            </w:r>
          </w:p>
        </w:tc>
        <w:tc>
          <w:tcPr>
            <w:tcW w:w="119" w:type="dxa"/>
            <w:noWrap/>
            <w:vAlign w:val="bottom"/>
          </w:tcPr>
          <w:p w14:paraId="3DE1C112"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18B8B6F1" w14:textId="77777777" w:rsidR="00023CAA" w:rsidRDefault="00023CAA" w:rsidP="00804D18">
            <w:pPr>
              <w:pStyle w:val="TBodysubtotalNumber"/>
              <w:keepNext/>
            </w:pPr>
            <w:r>
              <w:t>3.306</w:t>
            </w:r>
          </w:p>
        </w:tc>
        <w:tc>
          <w:tcPr>
            <w:tcW w:w="119" w:type="dxa"/>
            <w:noWrap/>
            <w:vAlign w:val="bottom"/>
          </w:tcPr>
          <w:p w14:paraId="014F0882"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5006053E" w14:textId="77777777" w:rsidR="00023CAA" w:rsidRDefault="00023CAA" w:rsidP="00804D18">
            <w:pPr>
              <w:pStyle w:val="TBodysubtotalNumber"/>
              <w:keepNext/>
            </w:pPr>
            <w:r>
              <w:t>2.827</w:t>
            </w:r>
          </w:p>
        </w:tc>
        <w:tc>
          <w:tcPr>
            <w:tcW w:w="119" w:type="dxa"/>
            <w:noWrap/>
            <w:vAlign w:val="bottom"/>
          </w:tcPr>
          <w:p w14:paraId="12040733"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3F94EF24" w14:textId="77777777" w:rsidR="00023CAA" w:rsidRDefault="00023CAA" w:rsidP="00804D18">
            <w:pPr>
              <w:pStyle w:val="TBodysubtotalNumber"/>
              <w:keepNext/>
            </w:pPr>
            <w:r>
              <w:t>-14</w:t>
            </w:r>
          </w:p>
        </w:tc>
        <w:tc>
          <w:tcPr>
            <w:tcW w:w="119" w:type="dxa"/>
            <w:noWrap/>
            <w:vAlign w:val="bottom"/>
          </w:tcPr>
          <w:p w14:paraId="4FA71A15"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58A087F2" w14:textId="77777777" w:rsidR="00023CAA" w:rsidRDefault="00023CAA" w:rsidP="00804D18">
            <w:pPr>
              <w:pStyle w:val="TBodysubtotalNumber"/>
              <w:keepNext/>
            </w:pPr>
            <w:r>
              <w:t>6.592</w:t>
            </w:r>
          </w:p>
        </w:tc>
        <w:tc>
          <w:tcPr>
            <w:tcW w:w="119" w:type="dxa"/>
            <w:noWrap/>
            <w:vAlign w:val="bottom"/>
          </w:tcPr>
          <w:p w14:paraId="218C3378"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1A9F534B" w14:textId="77777777" w:rsidR="00023CAA" w:rsidRDefault="00023CAA" w:rsidP="00804D18">
            <w:pPr>
              <w:pStyle w:val="TBodysubtotalNumber"/>
              <w:keepNext/>
            </w:pPr>
            <w:r>
              <w:t>6.069</w:t>
            </w:r>
          </w:p>
        </w:tc>
        <w:tc>
          <w:tcPr>
            <w:tcW w:w="119" w:type="dxa"/>
            <w:noWrap/>
            <w:vAlign w:val="bottom"/>
          </w:tcPr>
          <w:p w14:paraId="6D4B2FC5"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78749C5D" w14:textId="77777777" w:rsidR="00023CAA" w:rsidRDefault="00023CAA" w:rsidP="00804D18">
            <w:pPr>
              <w:pStyle w:val="TBodysubtotalNumber"/>
              <w:keepNext/>
            </w:pPr>
            <w:r>
              <w:t>-8</w:t>
            </w:r>
          </w:p>
        </w:tc>
      </w:tr>
      <w:tr w:rsidR="00023CAA" w14:paraId="649F9431" w14:textId="77777777" w:rsidTr="00804D18">
        <w:tc>
          <w:tcPr>
            <w:tcW w:w="2912" w:type="dxa"/>
            <w:tcBorders>
              <w:top w:val="single" w:sz="4" w:space="0" w:color="A59C94"/>
              <w:bottom w:val="single" w:sz="4" w:space="0" w:color="A59C94"/>
            </w:tcBorders>
            <w:noWrap/>
            <w:vAlign w:val="bottom"/>
          </w:tcPr>
          <w:p w14:paraId="7F5BAB3E" w14:textId="77777777" w:rsidR="00023CAA" w:rsidRDefault="00023CAA" w:rsidP="00804D18">
            <w:pPr>
              <w:pStyle w:val="TBodysubtotalText"/>
              <w:keepNext/>
            </w:pPr>
            <w:r>
              <w:t>Bereinigtes EBITDA</w:t>
            </w:r>
          </w:p>
        </w:tc>
        <w:tc>
          <w:tcPr>
            <w:tcW w:w="119" w:type="dxa"/>
            <w:noWrap/>
            <w:vAlign w:val="bottom"/>
          </w:tcPr>
          <w:p w14:paraId="7AC572F0"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03D7667D" w14:textId="77777777" w:rsidR="00023CAA" w:rsidRDefault="00023CAA" w:rsidP="00804D18">
            <w:pPr>
              <w:pStyle w:val="TBodysubtotalNumber"/>
              <w:keepNext/>
            </w:pPr>
            <w:r>
              <w:t>566</w:t>
            </w:r>
          </w:p>
        </w:tc>
        <w:tc>
          <w:tcPr>
            <w:tcW w:w="119" w:type="dxa"/>
            <w:noWrap/>
            <w:vAlign w:val="bottom"/>
          </w:tcPr>
          <w:p w14:paraId="79838247"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4529D8D3" w14:textId="77777777" w:rsidR="00023CAA" w:rsidRDefault="00023CAA" w:rsidP="00804D18">
            <w:pPr>
              <w:pStyle w:val="TBodysubtotalNumber"/>
              <w:keepNext/>
            </w:pPr>
            <w:r>
              <w:t>456</w:t>
            </w:r>
          </w:p>
        </w:tc>
        <w:tc>
          <w:tcPr>
            <w:tcW w:w="119" w:type="dxa"/>
            <w:noWrap/>
            <w:vAlign w:val="bottom"/>
          </w:tcPr>
          <w:p w14:paraId="716FFA61"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6FE5525F" w14:textId="77777777" w:rsidR="00023CAA" w:rsidRDefault="00023CAA" w:rsidP="00804D18">
            <w:pPr>
              <w:pStyle w:val="TBodysubtotalNumber"/>
              <w:keepNext/>
            </w:pPr>
            <w:r>
              <w:t>-19</w:t>
            </w:r>
          </w:p>
        </w:tc>
        <w:tc>
          <w:tcPr>
            <w:tcW w:w="119" w:type="dxa"/>
            <w:noWrap/>
            <w:vAlign w:val="bottom"/>
          </w:tcPr>
          <w:p w14:paraId="4B95FF85"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547878A4" w14:textId="77777777" w:rsidR="00023CAA" w:rsidRDefault="00023CAA" w:rsidP="00804D18">
            <w:pPr>
              <w:pStyle w:val="TBodysubtotalNumber"/>
              <w:keepNext/>
            </w:pPr>
            <w:r>
              <w:t>1.105</w:t>
            </w:r>
          </w:p>
        </w:tc>
        <w:tc>
          <w:tcPr>
            <w:tcW w:w="119" w:type="dxa"/>
            <w:noWrap/>
            <w:vAlign w:val="bottom"/>
          </w:tcPr>
          <w:p w14:paraId="2CB917ED"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53D7AB99" w14:textId="77777777" w:rsidR="00023CAA" w:rsidRDefault="00023CAA" w:rsidP="00804D18">
            <w:pPr>
              <w:pStyle w:val="TBodysubtotalNumber"/>
              <w:keepNext/>
            </w:pPr>
            <w:r>
              <w:t>970</w:t>
            </w:r>
          </w:p>
        </w:tc>
        <w:tc>
          <w:tcPr>
            <w:tcW w:w="119" w:type="dxa"/>
            <w:noWrap/>
            <w:vAlign w:val="bottom"/>
          </w:tcPr>
          <w:p w14:paraId="13DEF7E2"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6BD850C5" w14:textId="77777777" w:rsidR="00023CAA" w:rsidRDefault="00023CAA" w:rsidP="00804D18">
            <w:pPr>
              <w:pStyle w:val="TBodysubtotalNumber"/>
              <w:keepNext/>
            </w:pPr>
            <w:r>
              <w:t>-12</w:t>
            </w:r>
          </w:p>
        </w:tc>
      </w:tr>
      <w:tr w:rsidR="00023CAA" w14:paraId="10448320" w14:textId="77777777" w:rsidTr="00804D18">
        <w:tc>
          <w:tcPr>
            <w:tcW w:w="2912" w:type="dxa"/>
            <w:tcBorders>
              <w:top w:val="single" w:sz="4" w:space="0" w:color="A59C94"/>
              <w:bottom w:val="single" w:sz="4" w:space="0" w:color="A59C94"/>
            </w:tcBorders>
            <w:noWrap/>
            <w:vAlign w:val="bottom"/>
          </w:tcPr>
          <w:p w14:paraId="59051B1A" w14:textId="77777777" w:rsidR="00023CAA" w:rsidRDefault="00023CAA" w:rsidP="00804D18">
            <w:pPr>
              <w:pStyle w:val="TBodysubtotalText"/>
              <w:keepNext/>
            </w:pPr>
            <w:r>
              <w:t>Bereinigtes EBIT</w:t>
            </w:r>
          </w:p>
        </w:tc>
        <w:tc>
          <w:tcPr>
            <w:tcW w:w="119" w:type="dxa"/>
            <w:noWrap/>
            <w:vAlign w:val="bottom"/>
          </w:tcPr>
          <w:p w14:paraId="33EDA597"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3EF64FF9" w14:textId="77777777" w:rsidR="00023CAA" w:rsidRDefault="00023CAA" w:rsidP="00804D18">
            <w:pPr>
              <w:pStyle w:val="TBodysubtotalNumber"/>
              <w:keepNext/>
            </w:pPr>
            <w:r>
              <w:t>340</w:t>
            </w:r>
          </w:p>
        </w:tc>
        <w:tc>
          <w:tcPr>
            <w:tcW w:w="119" w:type="dxa"/>
            <w:noWrap/>
            <w:vAlign w:val="bottom"/>
          </w:tcPr>
          <w:p w14:paraId="0A66CD31"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24DA7A17" w14:textId="77777777" w:rsidR="00023CAA" w:rsidRDefault="00023CAA" w:rsidP="00804D18">
            <w:pPr>
              <w:pStyle w:val="TBodysubtotalNumber"/>
              <w:keepNext/>
            </w:pPr>
            <w:r>
              <w:t>202</w:t>
            </w:r>
          </w:p>
        </w:tc>
        <w:tc>
          <w:tcPr>
            <w:tcW w:w="119" w:type="dxa"/>
            <w:noWrap/>
            <w:vAlign w:val="bottom"/>
          </w:tcPr>
          <w:p w14:paraId="6C8A7B0D"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179F927E" w14:textId="77777777" w:rsidR="00023CAA" w:rsidRDefault="00023CAA" w:rsidP="00804D18">
            <w:pPr>
              <w:pStyle w:val="TBodysubtotalNumber"/>
              <w:keepNext/>
            </w:pPr>
            <w:r>
              <w:t>-41</w:t>
            </w:r>
          </w:p>
        </w:tc>
        <w:tc>
          <w:tcPr>
            <w:tcW w:w="119" w:type="dxa"/>
            <w:noWrap/>
            <w:vAlign w:val="bottom"/>
          </w:tcPr>
          <w:p w14:paraId="5FC3AD7C"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70E35359" w14:textId="77777777" w:rsidR="00023CAA" w:rsidRDefault="00023CAA" w:rsidP="00804D18">
            <w:pPr>
              <w:pStyle w:val="TBodysubtotalNumber"/>
              <w:keepNext/>
            </w:pPr>
            <w:r>
              <w:t>655</w:t>
            </w:r>
          </w:p>
        </w:tc>
        <w:tc>
          <w:tcPr>
            <w:tcW w:w="119" w:type="dxa"/>
            <w:noWrap/>
            <w:vAlign w:val="bottom"/>
          </w:tcPr>
          <w:p w14:paraId="5C016D59"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3DCCDE73" w14:textId="77777777" w:rsidR="00023CAA" w:rsidRDefault="00023CAA" w:rsidP="00804D18">
            <w:pPr>
              <w:pStyle w:val="TBodysubtotalNumber"/>
              <w:keepNext/>
            </w:pPr>
            <w:r>
              <w:t>475</w:t>
            </w:r>
          </w:p>
        </w:tc>
        <w:tc>
          <w:tcPr>
            <w:tcW w:w="119" w:type="dxa"/>
            <w:noWrap/>
            <w:vAlign w:val="bottom"/>
          </w:tcPr>
          <w:p w14:paraId="777EC9ED"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5615755E" w14:textId="77777777" w:rsidR="00023CAA" w:rsidRDefault="00023CAA" w:rsidP="00804D18">
            <w:pPr>
              <w:pStyle w:val="TBodysubtotalNumber"/>
              <w:keepNext/>
            </w:pPr>
            <w:r>
              <w:t>-27</w:t>
            </w:r>
          </w:p>
        </w:tc>
      </w:tr>
      <w:tr w:rsidR="00023CAA" w14:paraId="36C68BAA" w14:textId="77777777" w:rsidTr="00804D18">
        <w:tc>
          <w:tcPr>
            <w:tcW w:w="2912" w:type="dxa"/>
            <w:tcBorders>
              <w:top w:val="single" w:sz="4" w:space="0" w:color="A59C94"/>
              <w:bottom w:val="single" w:sz="4" w:space="0" w:color="A59C94"/>
            </w:tcBorders>
            <w:noWrap/>
            <w:vAlign w:val="bottom"/>
          </w:tcPr>
          <w:p w14:paraId="2F670C49" w14:textId="77777777" w:rsidR="00023CAA" w:rsidRDefault="00023CAA" w:rsidP="00804D18">
            <w:pPr>
              <w:pStyle w:val="TBodynormalText"/>
            </w:pPr>
            <w:r>
              <w:t>Bereinigungen</w:t>
            </w:r>
          </w:p>
        </w:tc>
        <w:tc>
          <w:tcPr>
            <w:tcW w:w="119" w:type="dxa"/>
            <w:noWrap/>
            <w:vAlign w:val="bottom"/>
          </w:tcPr>
          <w:p w14:paraId="1F4F261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A73E99D" w14:textId="77777777" w:rsidR="00023CAA" w:rsidRDefault="00023CAA" w:rsidP="00804D18">
            <w:pPr>
              <w:pStyle w:val="TBodynormalNumber"/>
              <w:keepNext/>
            </w:pPr>
            <w:r>
              <w:t>-21</w:t>
            </w:r>
          </w:p>
        </w:tc>
        <w:tc>
          <w:tcPr>
            <w:tcW w:w="119" w:type="dxa"/>
            <w:noWrap/>
            <w:vAlign w:val="bottom"/>
          </w:tcPr>
          <w:p w14:paraId="0BD5EF8D"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9539A96" w14:textId="77777777" w:rsidR="00023CAA" w:rsidRDefault="00023CAA" w:rsidP="00804D18">
            <w:pPr>
              <w:pStyle w:val="TBodynormalNumber"/>
              <w:keepNext/>
            </w:pPr>
            <w:r>
              <w:t>-14</w:t>
            </w:r>
          </w:p>
        </w:tc>
        <w:tc>
          <w:tcPr>
            <w:tcW w:w="119" w:type="dxa"/>
            <w:noWrap/>
            <w:vAlign w:val="bottom"/>
          </w:tcPr>
          <w:p w14:paraId="075E4656"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6BCFC8D" w14:textId="77777777" w:rsidR="00023CAA" w:rsidRDefault="00023CAA" w:rsidP="00804D18">
            <w:pPr>
              <w:pStyle w:val="TBodynormalNumber"/>
              <w:keepNext/>
            </w:pPr>
            <w:r>
              <w:t>–</w:t>
            </w:r>
          </w:p>
        </w:tc>
        <w:tc>
          <w:tcPr>
            <w:tcW w:w="119" w:type="dxa"/>
            <w:noWrap/>
            <w:vAlign w:val="bottom"/>
          </w:tcPr>
          <w:p w14:paraId="5B31869C"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6060343" w14:textId="77777777" w:rsidR="00023CAA" w:rsidRDefault="00023CAA" w:rsidP="00804D18">
            <w:pPr>
              <w:pStyle w:val="TBodynormalNumber"/>
              <w:keepNext/>
            </w:pPr>
            <w:r>
              <w:t>-41</w:t>
            </w:r>
          </w:p>
        </w:tc>
        <w:tc>
          <w:tcPr>
            <w:tcW w:w="119" w:type="dxa"/>
            <w:noWrap/>
            <w:vAlign w:val="bottom"/>
          </w:tcPr>
          <w:p w14:paraId="7FB7ED17"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E0F7DB2" w14:textId="77777777" w:rsidR="00023CAA" w:rsidRDefault="00023CAA" w:rsidP="00804D18">
            <w:pPr>
              <w:pStyle w:val="TBodynormalNumber"/>
              <w:keepNext/>
            </w:pPr>
            <w:r>
              <w:t>-40</w:t>
            </w:r>
          </w:p>
        </w:tc>
        <w:tc>
          <w:tcPr>
            <w:tcW w:w="119" w:type="dxa"/>
            <w:noWrap/>
            <w:vAlign w:val="bottom"/>
          </w:tcPr>
          <w:p w14:paraId="4355F6B2"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3E5ED1E" w14:textId="77777777" w:rsidR="00023CAA" w:rsidRDefault="00023CAA" w:rsidP="00804D18">
            <w:pPr>
              <w:pStyle w:val="TBodynormalNumber"/>
              <w:keepNext/>
            </w:pPr>
            <w:r>
              <w:t>–</w:t>
            </w:r>
          </w:p>
        </w:tc>
      </w:tr>
      <w:tr w:rsidR="00023CAA" w14:paraId="6342216C" w14:textId="77777777" w:rsidTr="00804D18">
        <w:tc>
          <w:tcPr>
            <w:tcW w:w="2912" w:type="dxa"/>
            <w:tcBorders>
              <w:top w:val="single" w:sz="4" w:space="0" w:color="A59C94"/>
              <w:bottom w:val="single" w:sz="4" w:space="0" w:color="A59C94"/>
            </w:tcBorders>
            <w:noWrap/>
            <w:vAlign w:val="bottom"/>
          </w:tcPr>
          <w:p w14:paraId="79E8C495" w14:textId="77777777" w:rsidR="00023CAA" w:rsidRDefault="00023CAA" w:rsidP="00804D18">
            <w:pPr>
              <w:pStyle w:val="TBodynormalText"/>
            </w:pPr>
            <w:r>
              <w:t>Finanzergebnis</w:t>
            </w:r>
          </w:p>
        </w:tc>
        <w:tc>
          <w:tcPr>
            <w:tcW w:w="119" w:type="dxa"/>
            <w:noWrap/>
            <w:vAlign w:val="bottom"/>
          </w:tcPr>
          <w:p w14:paraId="71CA816F"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0D48287" w14:textId="77777777" w:rsidR="00023CAA" w:rsidRDefault="00023CAA" w:rsidP="00804D18">
            <w:pPr>
              <w:pStyle w:val="TBodynormalNumber"/>
              <w:keepNext/>
            </w:pPr>
            <w:r>
              <w:t>-52</w:t>
            </w:r>
          </w:p>
        </w:tc>
        <w:tc>
          <w:tcPr>
            <w:tcW w:w="119" w:type="dxa"/>
            <w:noWrap/>
            <w:vAlign w:val="bottom"/>
          </w:tcPr>
          <w:p w14:paraId="73A02A9D"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28FC45E" w14:textId="77777777" w:rsidR="00023CAA" w:rsidRDefault="00023CAA" w:rsidP="00804D18">
            <w:pPr>
              <w:pStyle w:val="TBodynormalNumber"/>
              <w:keepNext/>
            </w:pPr>
            <w:r>
              <w:t>-25</w:t>
            </w:r>
          </w:p>
        </w:tc>
        <w:tc>
          <w:tcPr>
            <w:tcW w:w="119" w:type="dxa"/>
            <w:noWrap/>
            <w:vAlign w:val="bottom"/>
          </w:tcPr>
          <w:p w14:paraId="406D2EC7"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7A85FF6" w14:textId="77777777" w:rsidR="00023CAA" w:rsidRDefault="00023CAA" w:rsidP="00804D18">
            <w:pPr>
              <w:pStyle w:val="TBodynormalNumber"/>
              <w:keepNext/>
            </w:pPr>
            <w:r>
              <w:t>–</w:t>
            </w:r>
          </w:p>
        </w:tc>
        <w:tc>
          <w:tcPr>
            <w:tcW w:w="119" w:type="dxa"/>
            <w:noWrap/>
            <w:vAlign w:val="bottom"/>
          </w:tcPr>
          <w:p w14:paraId="517627C6"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CE0B4BE" w14:textId="77777777" w:rsidR="00023CAA" w:rsidRDefault="00023CAA" w:rsidP="00804D18">
            <w:pPr>
              <w:pStyle w:val="TBodynormalNumber"/>
              <w:keepNext/>
            </w:pPr>
            <w:r>
              <w:t>-104</w:t>
            </w:r>
          </w:p>
        </w:tc>
        <w:tc>
          <w:tcPr>
            <w:tcW w:w="119" w:type="dxa"/>
            <w:noWrap/>
            <w:vAlign w:val="bottom"/>
          </w:tcPr>
          <w:p w14:paraId="1382A063"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54FB4C2" w14:textId="77777777" w:rsidR="00023CAA" w:rsidRDefault="00023CAA" w:rsidP="00804D18">
            <w:pPr>
              <w:pStyle w:val="TBodynormalNumber"/>
              <w:keepNext/>
            </w:pPr>
            <w:r>
              <w:t>-75</w:t>
            </w:r>
          </w:p>
        </w:tc>
        <w:tc>
          <w:tcPr>
            <w:tcW w:w="119" w:type="dxa"/>
            <w:noWrap/>
            <w:vAlign w:val="bottom"/>
          </w:tcPr>
          <w:p w14:paraId="2DD63232"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D507917" w14:textId="77777777" w:rsidR="00023CAA" w:rsidRDefault="00023CAA" w:rsidP="00804D18">
            <w:pPr>
              <w:pStyle w:val="TBodynormalNumber"/>
              <w:keepNext/>
            </w:pPr>
            <w:r>
              <w:t>–</w:t>
            </w:r>
          </w:p>
        </w:tc>
      </w:tr>
      <w:tr w:rsidR="00023CAA" w14:paraId="42C54D30" w14:textId="77777777" w:rsidTr="00804D18">
        <w:tc>
          <w:tcPr>
            <w:tcW w:w="2912" w:type="dxa"/>
            <w:tcBorders>
              <w:top w:val="single" w:sz="4" w:space="0" w:color="A59C94"/>
              <w:bottom w:val="single" w:sz="4" w:space="0" w:color="A59C94"/>
            </w:tcBorders>
            <w:noWrap/>
            <w:vAlign w:val="bottom"/>
          </w:tcPr>
          <w:p w14:paraId="7B0923AB" w14:textId="77777777" w:rsidR="00023CAA" w:rsidRDefault="00023CAA" w:rsidP="00804D18">
            <w:pPr>
              <w:pStyle w:val="TBodysubtotalText"/>
              <w:keepNext/>
            </w:pPr>
            <w:bookmarkStart w:id="16" w:name="RANGE!B13:N13"/>
            <w:bookmarkEnd w:id="16"/>
            <w:r>
              <w:t>Ergebnis vor Ertragsteuern fortgeführter Aktivitäten</w:t>
            </w:r>
          </w:p>
        </w:tc>
        <w:tc>
          <w:tcPr>
            <w:tcW w:w="119" w:type="dxa"/>
            <w:noWrap/>
            <w:vAlign w:val="bottom"/>
          </w:tcPr>
          <w:p w14:paraId="28AA457E"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2738BBAE" w14:textId="77777777" w:rsidR="00023CAA" w:rsidRDefault="00023CAA" w:rsidP="00804D18">
            <w:pPr>
              <w:pStyle w:val="TBodysubtotalNumber"/>
              <w:keepNext/>
            </w:pPr>
            <w:r>
              <w:t>267</w:t>
            </w:r>
          </w:p>
        </w:tc>
        <w:tc>
          <w:tcPr>
            <w:tcW w:w="119" w:type="dxa"/>
            <w:noWrap/>
            <w:vAlign w:val="bottom"/>
          </w:tcPr>
          <w:p w14:paraId="4684D1EF"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7076A1DA" w14:textId="77777777" w:rsidR="00023CAA" w:rsidRDefault="00023CAA" w:rsidP="00804D18">
            <w:pPr>
              <w:pStyle w:val="TBodysubtotalNumber"/>
              <w:keepNext/>
            </w:pPr>
            <w:r>
              <w:t>163</w:t>
            </w:r>
          </w:p>
        </w:tc>
        <w:tc>
          <w:tcPr>
            <w:tcW w:w="119" w:type="dxa"/>
            <w:noWrap/>
            <w:vAlign w:val="bottom"/>
          </w:tcPr>
          <w:p w14:paraId="122C14D8"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402864A1" w14:textId="77777777" w:rsidR="00023CAA" w:rsidRDefault="00023CAA" w:rsidP="00804D18">
            <w:pPr>
              <w:pStyle w:val="TBodysubtotalNumber"/>
              <w:keepNext/>
            </w:pPr>
            <w:r>
              <w:t>-39</w:t>
            </w:r>
          </w:p>
        </w:tc>
        <w:tc>
          <w:tcPr>
            <w:tcW w:w="119" w:type="dxa"/>
            <w:noWrap/>
            <w:vAlign w:val="bottom"/>
          </w:tcPr>
          <w:p w14:paraId="68A95D3C"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446AC474" w14:textId="77777777" w:rsidR="00023CAA" w:rsidRDefault="00023CAA" w:rsidP="00804D18">
            <w:pPr>
              <w:pStyle w:val="TBodysubtotalNumber"/>
              <w:keepNext/>
            </w:pPr>
            <w:r>
              <w:t>510</w:t>
            </w:r>
          </w:p>
        </w:tc>
        <w:tc>
          <w:tcPr>
            <w:tcW w:w="119" w:type="dxa"/>
            <w:noWrap/>
            <w:vAlign w:val="bottom"/>
          </w:tcPr>
          <w:p w14:paraId="4EFF6111"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363BBB98" w14:textId="77777777" w:rsidR="00023CAA" w:rsidRDefault="00023CAA" w:rsidP="00804D18">
            <w:pPr>
              <w:pStyle w:val="TBodysubtotalNumber"/>
              <w:keepNext/>
            </w:pPr>
            <w:r>
              <w:t>360</w:t>
            </w:r>
          </w:p>
        </w:tc>
        <w:tc>
          <w:tcPr>
            <w:tcW w:w="119" w:type="dxa"/>
            <w:noWrap/>
            <w:vAlign w:val="bottom"/>
          </w:tcPr>
          <w:p w14:paraId="2C9877B5"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70352B26" w14:textId="77777777" w:rsidR="00023CAA" w:rsidRDefault="00023CAA" w:rsidP="00804D18">
            <w:pPr>
              <w:pStyle w:val="TBodysubtotalNumber"/>
              <w:keepNext/>
            </w:pPr>
            <w:r>
              <w:t>-29</w:t>
            </w:r>
          </w:p>
        </w:tc>
      </w:tr>
      <w:tr w:rsidR="00023CAA" w14:paraId="539B5CD8" w14:textId="77777777" w:rsidTr="00804D18">
        <w:tc>
          <w:tcPr>
            <w:tcW w:w="2912" w:type="dxa"/>
            <w:tcBorders>
              <w:top w:val="single" w:sz="4" w:space="0" w:color="A59C94"/>
              <w:bottom w:val="single" w:sz="4" w:space="0" w:color="A59C94"/>
            </w:tcBorders>
            <w:noWrap/>
            <w:vAlign w:val="bottom"/>
          </w:tcPr>
          <w:p w14:paraId="262EF1FF" w14:textId="77777777" w:rsidR="00023CAA" w:rsidRDefault="00023CAA" w:rsidP="00804D18">
            <w:pPr>
              <w:pStyle w:val="TBodynormalText"/>
            </w:pPr>
            <w:r>
              <w:t>Ertragsteuern</w:t>
            </w:r>
          </w:p>
        </w:tc>
        <w:tc>
          <w:tcPr>
            <w:tcW w:w="119" w:type="dxa"/>
            <w:noWrap/>
            <w:vAlign w:val="bottom"/>
          </w:tcPr>
          <w:p w14:paraId="7206890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FC3664B" w14:textId="77777777" w:rsidR="00023CAA" w:rsidRDefault="00023CAA" w:rsidP="00804D18">
            <w:pPr>
              <w:pStyle w:val="TBodynormalNumber"/>
              <w:keepNext/>
            </w:pPr>
            <w:r>
              <w:t>-74</w:t>
            </w:r>
          </w:p>
        </w:tc>
        <w:tc>
          <w:tcPr>
            <w:tcW w:w="119" w:type="dxa"/>
            <w:noWrap/>
            <w:vAlign w:val="bottom"/>
          </w:tcPr>
          <w:p w14:paraId="06385797"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A84F793" w14:textId="77777777" w:rsidR="00023CAA" w:rsidRDefault="00023CAA" w:rsidP="00804D18">
            <w:pPr>
              <w:pStyle w:val="TBodynormalNumber"/>
              <w:keepNext/>
            </w:pPr>
            <w:r>
              <w:t>-34</w:t>
            </w:r>
          </w:p>
        </w:tc>
        <w:tc>
          <w:tcPr>
            <w:tcW w:w="119" w:type="dxa"/>
            <w:noWrap/>
            <w:vAlign w:val="bottom"/>
          </w:tcPr>
          <w:p w14:paraId="1A1A9354"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892B797" w14:textId="77777777" w:rsidR="00023CAA" w:rsidRDefault="00023CAA" w:rsidP="00804D18">
            <w:pPr>
              <w:pStyle w:val="TBodynormalNumber"/>
              <w:keepNext/>
            </w:pPr>
            <w:r>
              <w:t>–</w:t>
            </w:r>
          </w:p>
        </w:tc>
        <w:tc>
          <w:tcPr>
            <w:tcW w:w="119" w:type="dxa"/>
            <w:noWrap/>
            <w:vAlign w:val="bottom"/>
          </w:tcPr>
          <w:p w14:paraId="7F99C69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96370AE" w14:textId="77777777" w:rsidR="00023CAA" w:rsidRDefault="00023CAA" w:rsidP="00804D18">
            <w:pPr>
              <w:pStyle w:val="TBodynormalNumber"/>
              <w:keepNext/>
            </w:pPr>
            <w:r>
              <w:t>-101</w:t>
            </w:r>
          </w:p>
        </w:tc>
        <w:tc>
          <w:tcPr>
            <w:tcW w:w="119" w:type="dxa"/>
            <w:noWrap/>
            <w:vAlign w:val="bottom"/>
          </w:tcPr>
          <w:p w14:paraId="06E6B27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B59E868" w14:textId="77777777" w:rsidR="00023CAA" w:rsidRDefault="00023CAA" w:rsidP="00804D18">
            <w:pPr>
              <w:pStyle w:val="TBodynormalNumber"/>
              <w:keepNext/>
            </w:pPr>
            <w:r>
              <w:t>-91</w:t>
            </w:r>
          </w:p>
        </w:tc>
        <w:tc>
          <w:tcPr>
            <w:tcW w:w="119" w:type="dxa"/>
            <w:noWrap/>
            <w:vAlign w:val="bottom"/>
          </w:tcPr>
          <w:p w14:paraId="2335C1D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60590ED8" w14:textId="77777777" w:rsidR="00023CAA" w:rsidRDefault="00023CAA" w:rsidP="00804D18">
            <w:pPr>
              <w:pStyle w:val="TBodynormalNumber"/>
              <w:keepNext/>
            </w:pPr>
            <w:r>
              <w:t>–</w:t>
            </w:r>
          </w:p>
        </w:tc>
      </w:tr>
      <w:tr w:rsidR="00023CAA" w14:paraId="707FE4C1" w14:textId="77777777" w:rsidTr="00804D18">
        <w:tc>
          <w:tcPr>
            <w:tcW w:w="2912" w:type="dxa"/>
            <w:tcBorders>
              <w:top w:val="single" w:sz="4" w:space="0" w:color="A59C94"/>
              <w:bottom w:val="single" w:sz="4" w:space="0" w:color="A59C94"/>
            </w:tcBorders>
            <w:noWrap/>
            <w:vAlign w:val="bottom"/>
          </w:tcPr>
          <w:p w14:paraId="0A45A549" w14:textId="77777777" w:rsidR="00023CAA" w:rsidRDefault="00023CAA" w:rsidP="00804D18">
            <w:pPr>
              <w:pStyle w:val="TBodysubtotalText"/>
              <w:keepNext/>
            </w:pPr>
            <w:bookmarkStart w:id="17" w:name="RANGE!B15:N15"/>
            <w:bookmarkEnd w:id="17"/>
            <w:r>
              <w:t>Ergebnis nach Steuern fortgeführter Aktivitäten</w:t>
            </w:r>
          </w:p>
        </w:tc>
        <w:tc>
          <w:tcPr>
            <w:tcW w:w="119" w:type="dxa"/>
            <w:noWrap/>
            <w:vAlign w:val="bottom"/>
          </w:tcPr>
          <w:p w14:paraId="2CE29AB1"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0C55427C" w14:textId="77777777" w:rsidR="00023CAA" w:rsidRDefault="00023CAA" w:rsidP="00804D18">
            <w:pPr>
              <w:pStyle w:val="TBodysubtotalNumber"/>
              <w:keepNext/>
            </w:pPr>
            <w:r>
              <w:t>193</w:t>
            </w:r>
          </w:p>
        </w:tc>
        <w:tc>
          <w:tcPr>
            <w:tcW w:w="119" w:type="dxa"/>
            <w:noWrap/>
            <w:vAlign w:val="bottom"/>
          </w:tcPr>
          <w:p w14:paraId="3DE43BC8"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77D62BFD" w14:textId="77777777" w:rsidR="00023CAA" w:rsidRDefault="00023CAA" w:rsidP="00804D18">
            <w:pPr>
              <w:pStyle w:val="TBodysubtotalNumber"/>
              <w:keepNext/>
            </w:pPr>
            <w:r>
              <w:t>129</w:t>
            </w:r>
          </w:p>
        </w:tc>
        <w:tc>
          <w:tcPr>
            <w:tcW w:w="119" w:type="dxa"/>
            <w:noWrap/>
            <w:vAlign w:val="bottom"/>
          </w:tcPr>
          <w:p w14:paraId="6E627BEC"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5339060B" w14:textId="77777777" w:rsidR="00023CAA" w:rsidRDefault="00023CAA" w:rsidP="00804D18">
            <w:pPr>
              <w:pStyle w:val="TBodysubtotalNumber"/>
              <w:keepNext/>
            </w:pPr>
            <w:r>
              <w:t>-33</w:t>
            </w:r>
          </w:p>
        </w:tc>
        <w:tc>
          <w:tcPr>
            <w:tcW w:w="119" w:type="dxa"/>
            <w:noWrap/>
            <w:vAlign w:val="bottom"/>
          </w:tcPr>
          <w:p w14:paraId="4DA9B0D5"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01F1B73F" w14:textId="77777777" w:rsidR="00023CAA" w:rsidRDefault="00023CAA" w:rsidP="00804D18">
            <w:pPr>
              <w:pStyle w:val="TBodysubtotalNumber"/>
              <w:keepNext/>
            </w:pPr>
            <w:r>
              <w:t>409</w:t>
            </w:r>
          </w:p>
        </w:tc>
        <w:tc>
          <w:tcPr>
            <w:tcW w:w="119" w:type="dxa"/>
            <w:noWrap/>
            <w:vAlign w:val="bottom"/>
          </w:tcPr>
          <w:p w14:paraId="310F9386"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3D9B58E5" w14:textId="77777777" w:rsidR="00023CAA" w:rsidRDefault="00023CAA" w:rsidP="00804D18">
            <w:pPr>
              <w:pStyle w:val="TBodysubtotalNumber"/>
              <w:keepNext/>
            </w:pPr>
            <w:r>
              <w:t>269</w:t>
            </w:r>
          </w:p>
        </w:tc>
        <w:tc>
          <w:tcPr>
            <w:tcW w:w="119" w:type="dxa"/>
            <w:noWrap/>
            <w:vAlign w:val="bottom"/>
          </w:tcPr>
          <w:p w14:paraId="0BAE122D"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FFBF8AD" w14:textId="77777777" w:rsidR="00023CAA" w:rsidRDefault="00023CAA" w:rsidP="00804D18">
            <w:pPr>
              <w:pStyle w:val="TBodynormalNumber"/>
              <w:keepNext/>
            </w:pPr>
            <w:r>
              <w:t>-34</w:t>
            </w:r>
          </w:p>
        </w:tc>
      </w:tr>
      <w:tr w:rsidR="00023CAA" w14:paraId="590CAD43" w14:textId="77777777" w:rsidTr="00804D18">
        <w:tc>
          <w:tcPr>
            <w:tcW w:w="2912" w:type="dxa"/>
            <w:tcBorders>
              <w:top w:val="single" w:sz="4" w:space="0" w:color="A59C94"/>
              <w:bottom w:val="single" w:sz="4" w:space="0" w:color="A59C94"/>
            </w:tcBorders>
            <w:noWrap/>
            <w:vAlign w:val="bottom"/>
          </w:tcPr>
          <w:p w14:paraId="7577AD22" w14:textId="77777777" w:rsidR="00023CAA" w:rsidRDefault="00023CAA" w:rsidP="00804D18">
            <w:pPr>
              <w:pStyle w:val="TBodynormalText"/>
            </w:pPr>
            <w:r>
              <w:t>Ergebnis nach Steuern nicht fortgeführter Aktivitäten</w:t>
            </w:r>
          </w:p>
        </w:tc>
        <w:tc>
          <w:tcPr>
            <w:tcW w:w="119" w:type="dxa"/>
            <w:noWrap/>
            <w:vAlign w:val="bottom"/>
          </w:tcPr>
          <w:p w14:paraId="0B39D649"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4DE5568" w14:textId="77777777" w:rsidR="00023CAA" w:rsidRDefault="00023CAA" w:rsidP="00804D18">
            <w:pPr>
              <w:pStyle w:val="TBodynormalNumber"/>
              <w:keepNext/>
            </w:pPr>
            <w:r>
              <w:t>40</w:t>
            </w:r>
          </w:p>
        </w:tc>
        <w:tc>
          <w:tcPr>
            <w:tcW w:w="119" w:type="dxa"/>
            <w:noWrap/>
            <w:vAlign w:val="bottom"/>
          </w:tcPr>
          <w:p w14:paraId="207F5B0A"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0D44375" w14:textId="77777777" w:rsidR="00023CAA" w:rsidRDefault="00023CAA" w:rsidP="00804D18">
            <w:pPr>
              <w:pStyle w:val="TBodynormalNumber"/>
              <w:keepNext/>
            </w:pPr>
            <w:r>
              <w:t>-11</w:t>
            </w:r>
          </w:p>
        </w:tc>
        <w:tc>
          <w:tcPr>
            <w:tcW w:w="119" w:type="dxa"/>
            <w:noWrap/>
            <w:vAlign w:val="bottom"/>
          </w:tcPr>
          <w:p w14:paraId="7A2CBB83"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12292E4" w14:textId="77777777" w:rsidR="00023CAA" w:rsidRDefault="00023CAA" w:rsidP="00804D18">
            <w:pPr>
              <w:pStyle w:val="TBodynormalNumber"/>
              <w:keepNext/>
            </w:pPr>
            <w:r>
              <w:t>–</w:t>
            </w:r>
          </w:p>
        </w:tc>
        <w:tc>
          <w:tcPr>
            <w:tcW w:w="119" w:type="dxa"/>
            <w:noWrap/>
            <w:vAlign w:val="bottom"/>
          </w:tcPr>
          <w:p w14:paraId="466A09DF"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6D099011" w14:textId="77777777" w:rsidR="00023CAA" w:rsidRDefault="00023CAA" w:rsidP="00804D18">
            <w:pPr>
              <w:pStyle w:val="TBodynormalNumber"/>
              <w:keepNext/>
            </w:pPr>
            <w:r>
              <w:t>69</w:t>
            </w:r>
          </w:p>
        </w:tc>
        <w:tc>
          <w:tcPr>
            <w:tcW w:w="119" w:type="dxa"/>
            <w:noWrap/>
            <w:vAlign w:val="bottom"/>
          </w:tcPr>
          <w:p w14:paraId="22E8D723"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9921009" w14:textId="77777777" w:rsidR="00023CAA" w:rsidRDefault="00023CAA" w:rsidP="00804D18">
            <w:pPr>
              <w:pStyle w:val="TBodynormalNumber"/>
              <w:keepNext/>
            </w:pPr>
            <w:r>
              <w:t>-18</w:t>
            </w:r>
          </w:p>
        </w:tc>
        <w:tc>
          <w:tcPr>
            <w:tcW w:w="119" w:type="dxa"/>
            <w:noWrap/>
            <w:vAlign w:val="bottom"/>
          </w:tcPr>
          <w:p w14:paraId="537E1D8F"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840CD32" w14:textId="77777777" w:rsidR="00023CAA" w:rsidRDefault="00023CAA" w:rsidP="00804D18">
            <w:pPr>
              <w:pStyle w:val="TBodynormalNumber"/>
              <w:keepNext/>
            </w:pPr>
            <w:r>
              <w:t>–</w:t>
            </w:r>
          </w:p>
        </w:tc>
      </w:tr>
      <w:tr w:rsidR="00023CAA" w14:paraId="77066F94" w14:textId="77777777" w:rsidTr="00804D18">
        <w:tc>
          <w:tcPr>
            <w:tcW w:w="2912" w:type="dxa"/>
            <w:tcBorders>
              <w:top w:val="single" w:sz="4" w:space="0" w:color="A59C94"/>
              <w:bottom w:val="single" w:sz="4" w:space="0" w:color="A59C94"/>
            </w:tcBorders>
            <w:noWrap/>
            <w:vAlign w:val="bottom"/>
          </w:tcPr>
          <w:p w14:paraId="565FC2B9" w14:textId="77777777" w:rsidR="00023CAA" w:rsidRDefault="00023CAA" w:rsidP="00804D18">
            <w:pPr>
              <w:pStyle w:val="TBodysubtotalText"/>
              <w:keepNext/>
            </w:pPr>
            <w:bookmarkStart w:id="18" w:name="RANGE!B17:N17"/>
            <w:bookmarkEnd w:id="18"/>
            <w:r>
              <w:t>Ergebnis nach Steuern</w:t>
            </w:r>
          </w:p>
        </w:tc>
        <w:tc>
          <w:tcPr>
            <w:tcW w:w="119" w:type="dxa"/>
            <w:noWrap/>
            <w:vAlign w:val="bottom"/>
          </w:tcPr>
          <w:p w14:paraId="32BE15D0"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4157A7E6" w14:textId="77777777" w:rsidR="00023CAA" w:rsidRDefault="00023CAA" w:rsidP="00804D18">
            <w:pPr>
              <w:pStyle w:val="TBodysubtotalNumber"/>
              <w:keepNext/>
            </w:pPr>
            <w:r>
              <w:t>233</w:t>
            </w:r>
          </w:p>
        </w:tc>
        <w:tc>
          <w:tcPr>
            <w:tcW w:w="119" w:type="dxa"/>
            <w:noWrap/>
            <w:vAlign w:val="bottom"/>
          </w:tcPr>
          <w:p w14:paraId="5AD10C81"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20D9848F" w14:textId="77777777" w:rsidR="00023CAA" w:rsidRDefault="00023CAA" w:rsidP="00804D18">
            <w:pPr>
              <w:pStyle w:val="TBodysubtotalNumber"/>
              <w:keepNext/>
            </w:pPr>
            <w:r>
              <w:t>118</w:t>
            </w:r>
          </w:p>
        </w:tc>
        <w:tc>
          <w:tcPr>
            <w:tcW w:w="119" w:type="dxa"/>
            <w:noWrap/>
            <w:vAlign w:val="bottom"/>
          </w:tcPr>
          <w:p w14:paraId="53BF37AB"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69C76D2A" w14:textId="77777777" w:rsidR="00023CAA" w:rsidRDefault="00023CAA" w:rsidP="00804D18">
            <w:pPr>
              <w:pStyle w:val="TBodysubtotalNumber"/>
              <w:keepNext/>
            </w:pPr>
            <w:r>
              <w:t>-49</w:t>
            </w:r>
          </w:p>
        </w:tc>
        <w:tc>
          <w:tcPr>
            <w:tcW w:w="119" w:type="dxa"/>
            <w:noWrap/>
            <w:vAlign w:val="bottom"/>
          </w:tcPr>
          <w:p w14:paraId="22B3E07E"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69B7FB64" w14:textId="77777777" w:rsidR="00023CAA" w:rsidRDefault="00023CAA" w:rsidP="00804D18">
            <w:pPr>
              <w:pStyle w:val="TBodysubtotalNumber"/>
              <w:keepNext/>
            </w:pPr>
            <w:r>
              <w:t>478</w:t>
            </w:r>
          </w:p>
        </w:tc>
        <w:tc>
          <w:tcPr>
            <w:tcW w:w="119" w:type="dxa"/>
            <w:noWrap/>
            <w:vAlign w:val="bottom"/>
          </w:tcPr>
          <w:p w14:paraId="52341F51"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34A24729" w14:textId="77777777" w:rsidR="00023CAA" w:rsidRDefault="00023CAA" w:rsidP="00804D18">
            <w:pPr>
              <w:pStyle w:val="TBodysubtotalNumber"/>
              <w:keepNext/>
            </w:pPr>
            <w:r>
              <w:t>251</w:t>
            </w:r>
          </w:p>
        </w:tc>
        <w:tc>
          <w:tcPr>
            <w:tcW w:w="119" w:type="dxa"/>
            <w:noWrap/>
            <w:vAlign w:val="bottom"/>
          </w:tcPr>
          <w:p w14:paraId="5090B67A"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AB54434" w14:textId="77777777" w:rsidR="00023CAA" w:rsidRDefault="00023CAA" w:rsidP="00804D18">
            <w:pPr>
              <w:pStyle w:val="TBodynormalNumber"/>
              <w:keepNext/>
            </w:pPr>
            <w:r>
              <w:t>-47</w:t>
            </w:r>
          </w:p>
        </w:tc>
      </w:tr>
      <w:tr w:rsidR="00023CAA" w14:paraId="18C859DB" w14:textId="77777777" w:rsidTr="00804D18">
        <w:tc>
          <w:tcPr>
            <w:tcW w:w="2912" w:type="dxa"/>
            <w:tcBorders>
              <w:top w:val="single" w:sz="4" w:space="0" w:color="A59C94"/>
              <w:bottom w:val="single" w:sz="4" w:space="0" w:color="A59C94"/>
            </w:tcBorders>
            <w:noWrap/>
            <w:vAlign w:val="bottom"/>
          </w:tcPr>
          <w:p w14:paraId="4CF38829" w14:textId="77777777" w:rsidR="00023CAA" w:rsidRDefault="00023CAA" w:rsidP="00804D18">
            <w:pPr>
              <w:pStyle w:val="TBodyindentText"/>
            </w:pPr>
            <w:bookmarkStart w:id="19" w:name="RANGE!B18:N18"/>
            <w:bookmarkEnd w:id="19"/>
            <w:r>
              <w:t>davon Ergebnis anderer Gesellschafter</w:t>
            </w:r>
          </w:p>
        </w:tc>
        <w:tc>
          <w:tcPr>
            <w:tcW w:w="119" w:type="dxa"/>
            <w:noWrap/>
            <w:vAlign w:val="bottom"/>
          </w:tcPr>
          <w:p w14:paraId="35BB6F6D" w14:textId="77777777" w:rsidR="00023CAA" w:rsidRDefault="00023CAA" w:rsidP="00804D18">
            <w:pPr>
              <w:pStyle w:val="TBodyindentNumber"/>
            </w:pPr>
          </w:p>
        </w:tc>
        <w:tc>
          <w:tcPr>
            <w:tcW w:w="1021" w:type="dxa"/>
            <w:tcBorders>
              <w:top w:val="single" w:sz="4" w:space="0" w:color="A59C94"/>
              <w:bottom w:val="single" w:sz="4" w:space="0" w:color="A59C94"/>
            </w:tcBorders>
            <w:noWrap/>
            <w:vAlign w:val="bottom"/>
          </w:tcPr>
          <w:p w14:paraId="72AE7CF7" w14:textId="77777777" w:rsidR="00023CAA" w:rsidRDefault="00023CAA" w:rsidP="00804D18">
            <w:pPr>
              <w:pStyle w:val="TBodyindentNumber"/>
            </w:pPr>
            <w:r>
              <w:t>5</w:t>
            </w:r>
          </w:p>
        </w:tc>
        <w:tc>
          <w:tcPr>
            <w:tcW w:w="119" w:type="dxa"/>
            <w:noWrap/>
            <w:vAlign w:val="bottom"/>
          </w:tcPr>
          <w:p w14:paraId="2AFCFDCD" w14:textId="77777777" w:rsidR="00023CAA" w:rsidRDefault="00023CAA" w:rsidP="00804D18">
            <w:pPr>
              <w:pStyle w:val="TBodyindentNumber"/>
            </w:pPr>
          </w:p>
        </w:tc>
        <w:tc>
          <w:tcPr>
            <w:tcW w:w="1021" w:type="dxa"/>
            <w:tcBorders>
              <w:top w:val="single" w:sz="4" w:space="0" w:color="A59C94"/>
              <w:bottom w:val="single" w:sz="4" w:space="0" w:color="A59C94"/>
            </w:tcBorders>
            <w:shd w:val="clear" w:color="000000" w:fill="DAD5C9"/>
            <w:noWrap/>
            <w:vAlign w:val="bottom"/>
          </w:tcPr>
          <w:p w14:paraId="46A174DE" w14:textId="77777777" w:rsidR="00023CAA" w:rsidRDefault="00023CAA" w:rsidP="00804D18">
            <w:pPr>
              <w:pStyle w:val="TBodyindentNumber"/>
            </w:pPr>
            <w:r>
              <w:t>4</w:t>
            </w:r>
          </w:p>
        </w:tc>
        <w:tc>
          <w:tcPr>
            <w:tcW w:w="119" w:type="dxa"/>
            <w:noWrap/>
            <w:vAlign w:val="bottom"/>
          </w:tcPr>
          <w:p w14:paraId="3B0D48DB" w14:textId="77777777" w:rsidR="00023CAA" w:rsidRDefault="00023CAA" w:rsidP="00804D18">
            <w:pPr>
              <w:pStyle w:val="TBodyindentNumber"/>
            </w:pPr>
          </w:p>
        </w:tc>
        <w:tc>
          <w:tcPr>
            <w:tcW w:w="1021" w:type="dxa"/>
            <w:tcBorders>
              <w:top w:val="single" w:sz="4" w:space="0" w:color="A59C94"/>
              <w:bottom w:val="single" w:sz="4" w:space="0" w:color="A59C94"/>
            </w:tcBorders>
            <w:noWrap/>
            <w:vAlign w:val="bottom"/>
          </w:tcPr>
          <w:p w14:paraId="07B0DC18" w14:textId="77777777" w:rsidR="00023CAA" w:rsidRDefault="00023CAA" w:rsidP="00804D18">
            <w:pPr>
              <w:pStyle w:val="TBodyindentNumber"/>
            </w:pPr>
            <w:r>
              <w:t>–</w:t>
            </w:r>
          </w:p>
        </w:tc>
        <w:tc>
          <w:tcPr>
            <w:tcW w:w="119" w:type="dxa"/>
            <w:noWrap/>
            <w:vAlign w:val="bottom"/>
          </w:tcPr>
          <w:p w14:paraId="26F832BA" w14:textId="77777777" w:rsidR="00023CAA" w:rsidRDefault="00023CAA" w:rsidP="00804D18">
            <w:pPr>
              <w:pStyle w:val="TBodyindentNumber"/>
            </w:pPr>
          </w:p>
        </w:tc>
        <w:tc>
          <w:tcPr>
            <w:tcW w:w="1021" w:type="dxa"/>
            <w:tcBorders>
              <w:top w:val="single" w:sz="4" w:space="0" w:color="A59C94"/>
              <w:bottom w:val="single" w:sz="4" w:space="0" w:color="A59C94"/>
            </w:tcBorders>
            <w:noWrap/>
            <w:vAlign w:val="bottom"/>
          </w:tcPr>
          <w:p w14:paraId="1ABED147" w14:textId="77777777" w:rsidR="00023CAA" w:rsidRDefault="00023CAA" w:rsidP="00804D18">
            <w:pPr>
              <w:pStyle w:val="TBodyindentNumber"/>
            </w:pPr>
            <w:r>
              <w:t>11</w:t>
            </w:r>
          </w:p>
        </w:tc>
        <w:tc>
          <w:tcPr>
            <w:tcW w:w="119" w:type="dxa"/>
            <w:noWrap/>
            <w:vAlign w:val="bottom"/>
          </w:tcPr>
          <w:p w14:paraId="256F641D" w14:textId="77777777" w:rsidR="00023CAA" w:rsidRDefault="00023CAA" w:rsidP="00804D18">
            <w:pPr>
              <w:pStyle w:val="TBodyindentNumber"/>
            </w:pPr>
          </w:p>
        </w:tc>
        <w:tc>
          <w:tcPr>
            <w:tcW w:w="1021" w:type="dxa"/>
            <w:tcBorders>
              <w:top w:val="single" w:sz="4" w:space="0" w:color="A59C94"/>
              <w:bottom w:val="single" w:sz="4" w:space="0" w:color="A59C94"/>
            </w:tcBorders>
            <w:shd w:val="clear" w:color="000000" w:fill="DAD5C9"/>
            <w:noWrap/>
            <w:vAlign w:val="bottom"/>
          </w:tcPr>
          <w:p w14:paraId="3D6085C6" w14:textId="77777777" w:rsidR="00023CAA" w:rsidRDefault="00023CAA" w:rsidP="00804D18">
            <w:pPr>
              <w:pStyle w:val="TBodyindentNumber"/>
            </w:pPr>
            <w:r>
              <w:t>7</w:t>
            </w:r>
          </w:p>
        </w:tc>
        <w:tc>
          <w:tcPr>
            <w:tcW w:w="119" w:type="dxa"/>
            <w:noWrap/>
            <w:vAlign w:val="bottom"/>
          </w:tcPr>
          <w:p w14:paraId="3AF8E39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93F9F1F" w14:textId="77777777" w:rsidR="00023CAA" w:rsidRDefault="00023CAA" w:rsidP="00804D18">
            <w:pPr>
              <w:pStyle w:val="TBodynormalNumber"/>
              <w:keepNext/>
            </w:pPr>
            <w:r>
              <w:t>–</w:t>
            </w:r>
          </w:p>
        </w:tc>
      </w:tr>
      <w:tr w:rsidR="00023CAA" w14:paraId="3F44BFC0" w14:textId="77777777" w:rsidTr="00804D18">
        <w:tc>
          <w:tcPr>
            <w:tcW w:w="2912" w:type="dxa"/>
            <w:tcBorders>
              <w:top w:val="single" w:sz="4" w:space="0" w:color="A59C94"/>
              <w:bottom w:val="single" w:sz="4" w:space="0" w:color="A59C94"/>
            </w:tcBorders>
            <w:noWrap/>
            <w:vAlign w:val="bottom"/>
          </w:tcPr>
          <w:p w14:paraId="592BE81F" w14:textId="77777777" w:rsidR="00023CAA" w:rsidRDefault="00023CAA" w:rsidP="00804D18">
            <w:pPr>
              <w:pStyle w:val="TBodysubtotalText"/>
              <w:keepNext/>
            </w:pPr>
            <w:bookmarkStart w:id="20" w:name="RANGE!B19:N19"/>
            <w:bookmarkEnd w:id="20"/>
            <w:r>
              <w:t>Konzernergebnis</w:t>
            </w:r>
          </w:p>
        </w:tc>
        <w:tc>
          <w:tcPr>
            <w:tcW w:w="119" w:type="dxa"/>
            <w:noWrap/>
            <w:vAlign w:val="bottom"/>
          </w:tcPr>
          <w:p w14:paraId="0474C4A2"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0EA82663" w14:textId="77777777" w:rsidR="00023CAA" w:rsidRDefault="00023CAA" w:rsidP="00804D18">
            <w:pPr>
              <w:pStyle w:val="TBodysubtotalNumber"/>
              <w:keepNext/>
            </w:pPr>
            <w:r>
              <w:t>228</w:t>
            </w:r>
          </w:p>
        </w:tc>
        <w:tc>
          <w:tcPr>
            <w:tcW w:w="119" w:type="dxa"/>
            <w:noWrap/>
            <w:vAlign w:val="bottom"/>
          </w:tcPr>
          <w:p w14:paraId="63D56BE5"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0D99186C" w14:textId="77777777" w:rsidR="00023CAA" w:rsidRDefault="00023CAA" w:rsidP="00804D18">
            <w:pPr>
              <w:pStyle w:val="TBodysubtotalNumber"/>
              <w:keepNext/>
            </w:pPr>
            <w:r>
              <w:t>114</w:t>
            </w:r>
          </w:p>
        </w:tc>
        <w:tc>
          <w:tcPr>
            <w:tcW w:w="119" w:type="dxa"/>
            <w:noWrap/>
            <w:vAlign w:val="bottom"/>
          </w:tcPr>
          <w:p w14:paraId="454A8DBF"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582CC029" w14:textId="77777777" w:rsidR="00023CAA" w:rsidRDefault="00023CAA" w:rsidP="00804D18">
            <w:pPr>
              <w:pStyle w:val="TBodysubtotalNumber"/>
              <w:keepNext/>
            </w:pPr>
            <w:r>
              <w:t>-50</w:t>
            </w:r>
          </w:p>
        </w:tc>
        <w:tc>
          <w:tcPr>
            <w:tcW w:w="119" w:type="dxa"/>
            <w:noWrap/>
            <w:vAlign w:val="bottom"/>
          </w:tcPr>
          <w:p w14:paraId="47D4D4B0" w14:textId="77777777" w:rsidR="00023CAA" w:rsidRDefault="00023CAA" w:rsidP="00804D18">
            <w:pPr>
              <w:pStyle w:val="TBodysubtotalNumber"/>
              <w:keepNext/>
            </w:pPr>
          </w:p>
        </w:tc>
        <w:tc>
          <w:tcPr>
            <w:tcW w:w="1021" w:type="dxa"/>
            <w:tcBorders>
              <w:top w:val="single" w:sz="4" w:space="0" w:color="A59C94"/>
              <w:bottom w:val="single" w:sz="4" w:space="0" w:color="A59C94"/>
            </w:tcBorders>
            <w:noWrap/>
            <w:vAlign w:val="bottom"/>
          </w:tcPr>
          <w:p w14:paraId="4AF03E13" w14:textId="77777777" w:rsidR="00023CAA" w:rsidRDefault="00023CAA" w:rsidP="00804D18">
            <w:pPr>
              <w:pStyle w:val="TBodysubtotalNumber"/>
              <w:keepNext/>
            </w:pPr>
            <w:r>
              <w:t>467</w:t>
            </w:r>
          </w:p>
        </w:tc>
        <w:tc>
          <w:tcPr>
            <w:tcW w:w="119" w:type="dxa"/>
            <w:noWrap/>
            <w:vAlign w:val="bottom"/>
          </w:tcPr>
          <w:p w14:paraId="7D8A4C72" w14:textId="77777777" w:rsidR="00023CAA" w:rsidRDefault="00023CAA"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3DA3A0AF" w14:textId="77777777" w:rsidR="00023CAA" w:rsidRDefault="00023CAA" w:rsidP="00804D18">
            <w:pPr>
              <w:pStyle w:val="TBodysubtotalNumber"/>
              <w:keepNext/>
            </w:pPr>
            <w:r>
              <w:t>244</w:t>
            </w:r>
          </w:p>
        </w:tc>
        <w:tc>
          <w:tcPr>
            <w:tcW w:w="119" w:type="dxa"/>
            <w:noWrap/>
            <w:vAlign w:val="bottom"/>
          </w:tcPr>
          <w:p w14:paraId="4958295F"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6380C82" w14:textId="77777777" w:rsidR="00023CAA" w:rsidRDefault="00023CAA" w:rsidP="00804D18">
            <w:pPr>
              <w:pStyle w:val="TBodynormalNumber"/>
              <w:keepNext/>
            </w:pPr>
            <w:r>
              <w:t>-48</w:t>
            </w:r>
          </w:p>
        </w:tc>
      </w:tr>
      <w:tr w:rsidR="00023CAA" w14:paraId="67D2C90F" w14:textId="77777777" w:rsidTr="00804D18">
        <w:tc>
          <w:tcPr>
            <w:tcW w:w="2912" w:type="dxa"/>
            <w:tcBorders>
              <w:top w:val="single" w:sz="4" w:space="0" w:color="A59C94"/>
              <w:bottom w:val="single" w:sz="8" w:space="0" w:color="991D85"/>
            </w:tcBorders>
            <w:noWrap/>
            <w:vAlign w:val="bottom"/>
          </w:tcPr>
          <w:p w14:paraId="4B7D1180" w14:textId="77777777" w:rsidR="00023CAA" w:rsidRDefault="00023CAA" w:rsidP="00804D18">
            <w:pPr>
              <w:pStyle w:val="TBodytotalText"/>
            </w:pPr>
            <w:bookmarkStart w:id="21" w:name="RANGE!B20:N20"/>
            <w:bookmarkEnd w:id="21"/>
            <w:r>
              <w:t>Bereinigtes Konzernergebnis</w:t>
            </w:r>
          </w:p>
        </w:tc>
        <w:tc>
          <w:tcPr>
            <w:tcW w:w="119" w:type="dxa"/>
            <w:tcBorders>
              <w:bottom w:val="single" w:sz="8" w:space="0" w:color="991D85"/>
            </w:tcBorders>
            <w:noWrap/>
            <w:vAlign w:val="bottom"/>
          </w:tcPr>
          <w:p w14:paraId="181532CB"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004A60AE" w14:textId="77777777" w:rsidR="00023CAA" w:rsidRDefault="00023CAA" w:rsidP="00804D18">
            <w:pPr>
              <w:pStyle w:val="TBodytotalNumber"/>
            </w:pPr>
            <w:r>
              <w:t>227</w:t>
            </w:r>
          </w:p>
        </w:tc>
        <w:tc>
          <w:tcPr>
            <w:tcW w:w="119" w:type="dxa"/>
            <w:tcBorders>
              <w:bottom w:val="single" w:sz="8" w:space="0" w:color="991D85"/>
            </w:tcBorders>
            <w:noWrap/>
            <w:vAlign w:val="bottom"/>
          </w:tcPr>
          <w:p w14:paraId="406B98E6"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7AD59767" w14:textId="77777777" w:rsidR="00023CAA" w:rsidRDefault="00023CAA" w:rsidP="00804D18">
            <w:pPr>
              <w:pStyle w:val="TBodytotalNumber"/>
            </w:pPr>
            <w:r>
              <w:t>160</w:t>
            </w:r>
          </w:p>
        </w:tc>
        <w:tc>
          <w:tcPr>
            <w:tcW w:w="119" w:type="dxa"/>
            <w:tcBorders>
              <w:bottom w:val="single" w:sz="8" w:space="0" w:color="991D85"/>
            </w:tcBorders>
            <w:noWrap/>
            <w:vAlign w:val="bottom"/>
          </w:tcPr>
          <w:p w14:paraId="6F1E4F90"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78DF3EF8" w14:textId="77777777" w:rsidR="00023CAA" w:rsidRDefault="00023CAA" w:rsidP="00804D18">
            <w:pPr>
              <w:pStyle w:val="TBodytotalNumber"/>
            </w:pPr>
            <w:r>
              <w:t>-30</w:t>
            </w:r>
          </w:p>
        </w:tc>
        <w:tc>
          <w:tcPr>
            <w:tcW w:w="119" w:type="dxa"/>
            <w:tcBorders>
              <w:bottom w:val="single" w:sz="8" w:space="0" w:color="991D85"/>
            </w:tcBorders>
            <w:noWrap/>
            <w:vAlign w:val="bottom"/>
          </w:tcPr>
          <w:p w14:paraId="277FB372"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6913DFEC" w14:textId="77777777" w:rsidR="00023CAA" w:rsidRDefault="00023CAA" w:rsidP="00804D18">
            <w:pPr>
              <w:pStyle w:val="TBodytotalNumber"/>
            </w:pPr>
            <w:r>
              <w:t>476</w:t>
            </w:r>
          </w:p>
        </w:tc>
        <w:tc>
          <w:tcPr>
            <w:tcW w:w="119" w:type="dxa"/>
            <w:tcBorders>
              <w:bottom w:val="single" w:sz="8" w:space="0" w:color="991D85"/>
            </w:tcBorders>
            <w:noWrap/>
            <w:vAlign w:val="bottom"/>
          </w:tcPr>
          <w:p w14:paraId="3A8253D3"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34D69F7E" w14:textId="77777777" w:rsidR="00023CAA" w:rsidRDefault="00023CAA" w:rsidP="00804D18">
            <w:pPr>
              <w:pStyle w:val="TBodytotalNumber"/>
            </w:pPr>
            <w:r>
              <w:t>341</w:t>
            </w:r>
          </w:p>
        </w:tc>
        <w:tc>
          <w:tcPr>
            <w:tcW w:w="119" w:type="dxa"/>
            <w:tcBorders>
              <w:bottom w:val="single" w:sz="4" w:space="0" w:color="991D85"/>
            </w:tcBorders>
            <w:noWrap/>
            <w:vAlign w:val="bottom"/>
          </w:tcPr>
          <w:p w14:paraId="28B17672" w14:textId="77777777" w:rsidR="00023CAA" w:rsidRDefault="00023CAA" w:rsidP="00804D18">
            <w:pPr>
              <w:pStyle w:val="TBodynormalNumber"/>
              <w:keepNext/>
            </w:pPr>
          </w:p>
        </w:tc>
        <w:tc>
          <w:tcPr>
            <w:tcW w:w="1021" w:type="dxa"/>
            <w:tcBorders>
              <w:top w:val="single" w:sz="4" w:space="0" w:color="A59C94"/>
              <w:bottom w:val="single" w:sz="4" w:space="0" w:color="991D85"/>
            </w:tcBorders>
            <w:noWrap/>
            <w:vAlign w:val="bottom"/>
          </w:tcPr>
          <w:p w14:paraId="3B19CCCE" w14:textId="77777777" w:rsidR="00023CAA" w:rsidRDefault="00023CAA" w:rsidP="00804D18">
            <w:pPr>
              <w:pStyle w:val="TBodynormalNumber"/>
              <w:keepNext/>
            </w:pPr>
            <w:r>
              <w:t>-28</w:t>
            </w:r>
          </w:p>
        </w:tc>
      </w:tr>
    </w:tbl>
    <w:p w14:paraId="1C783691" w14:textId="77777777" w:rsidR="00023CAA" w:rsidRPr="00C57779" w:rsidRDefault="00023CAA" w:rsidP="00023CAA">
      <w:pPr>
        <w:spacing w:line="240" w:lineRule="auto"/>
      </w:pPr>
    </w:p>
    <w:p w14:paraId="4AD224A7" w14:textId="77777777" w:rsidR="00023CAA" w:rsidRDefault="00023CAA" w:rsidP="00023CAA">
      <w:pPr>
        <w:autoSpaceDE w:val="0"/>
        <w:autoSpaceDN w:val="0"/>
        <w:adjustRightInd w:val="0"/>
        <w:spacing w:line="220" w:lineRule="exact"/>
        <w:rPr>
          <w:rFonts w:cs="Lucida Sans Unicode"/>
          <w:b/>
          <w:bCs/>
          <w:sz w:val="18"/>
          <w:szCs w:val="18"/>
        </w:rPr>
      </w:pPr>
    </w:p>
    <w:tbl>
      <w:tblPr>
        <w:tblW w:w="9752" w:type="dxa"/>
        <w:tblLayout w:type="fixed"/>
        <w:tblCellMar>
          <w:left w:w="0" w:type="dxa"/>
          <w:right w:w="0" w:type="dxa"/>
        </w:tblCellMar>
        <w:tblLook w:val="0000" w:firstRow="0" w:lastRow="0" w:firstColumn="0" w:lastColumn="0" w:noHBand="0" w:noVBand="0"/>
        <w:tblDescription w:val="SNEID_6e64f76844f14505ba9918c7123c7ec0"/>
      </w:tblPr>
      <w:tblGrid>
        <w:gridCol w:w="2912"/>
        <w:gridCol w:w="119"/>
        <w:gridCol w:w="1021"/>
        <w:gridCol w:w="119"/>
        <w:gridCol w:w="1021"/>
        <w:gridCol w:w="119"/>
        <w:gridCol w:w="1021"/>
        <w:gridCol w:w="119"/>
        <w:gridCol w:w="1021"/>
        <w:gridCol w:w="119"/>
        <w:gridCol w:w="1021"/>
        <w:gridCol w:w="119"/>
        <w:gridCol w:w="1021"/>
      </w:tblGrid>
      <w:tr w:rsidR="00023CAA" w14:paraId="57C324BE" w14:textId="77777777" w:rsidTr="00804D18">
        <w:tc>
          <w:tcPr>
            <w:tcW w:w="9752" w:type="dxa"/>
            <w:gridSpan w:val="13"/>
            <w:tcBorders>
              <w:bottom w:val="single" w:sz="4" w:space="0" w:color="000000"/>
            </w:tcBorders>
            <w:noWrap/>
            <w:vAlign w:val="bottom"/>
          </w:tcPr>
          <w:p w14:paraId="7AD4FB8C" w14:textId="77777777" w:rsidR="00023CAA" w:rsidRPr="001100C2" w:rsidRDefault="00023CAA" w:rsidP="00804D18">
            <w:pPr>
              <w:pStyle w:val="TTitleText"/>
              <w:rPr>
                <w:lang w:val="de-DE"/>
              </w:rPr>
            </w:pPr>
            <w:r w:rsidRPr="00190E17">
              <w:rPr>
                <w:lang w:val="de-DE"/>
              </w:rPr>
              <w:t>Entwicklung in den Segmenten – 2. Quartal</w:t>
            </w:r>
          </w:p>
        </w:tc>
      </w:tr>
      <w:tr w:rsidR="00023CAA" w14:paraId="59B50436" w14:textId="77777777" w:rsidTr="00804D18">
        <w:tc>
          <w:tcPr>
            <w:tcW w:w="2912" w:type="dxa"/>
            <w:tcBorders>
              <w:top w:val="single" w:sz="8" w:space="0" w:color="000000"/>
            </w:tcBorders>
            <w:noWrap/>
            <w:vAlign w:val="bottom"/>
          </w:tcPr>
          <w:p w14:paraId="746562AA" w14:textId="77777777" w:rsidR="00023CAA" w:rsidRPr="001100C2" w:rsidRDefault="00023CAA" w:rsidP="00804D18">
            <w:pPr>
              <w:pStyle w:val="TDummy"/>
              <w:keepNext/>
              <w:rPr>
                <w:lang w:val="de-DE"/>
              </w:rPr>
            </w:pPr>
          </w:p>
        </w:tc>
        <w:tc>
          <w:tcPr>
            <w:tcW w:w="119" w:type="dxa"/>
            <w:tcBorders>
              <w:top w:val="single" w:sz="8" w:space="0" w:color="000000"/>
            </w:tcBorders>
            <w:noWrap/>
            <w:vAlign w:val="bottom"/>
          </w:tcPr>
          <w:p w14:paraId="70870532" w14:textId="77777777" w:rsidR="00023CAA" w:rsidRPr="001100C2" w:rsidRDefault="00023CAA" w:rsidP="00804D18">
            <w:pPr>
              <w:pStyle w:val="TDummy"/>
              <w:keepNext/>
              <w:rPr>
                <w:lang w:val="de-DE"/>
              </w:rPr>
            </w:pPr>
          </w:p>
        </w:tc>
        <w:tc>
          <w:tcPr>
            <w:tcW w:w="1021" w:type="dxa"/>
            <w:tcBorders>
              <w:top w:val="single" w:sz="8" w:space="0" w:color="000000"/>
            </w:tcBorders>
            <w:noWrap/>
            <w:vAlign w:val="bottom"/>
          </w:tcPr>
          <w:p w14:paraId="06DF4FAB" w14:textId="77777777" w:rsidR="00023CAA" w:rsidRPr="001100C2" w:rsidRDefault="00023CAA" w:rsidP="00804D18">
            <w:pPr>
              <w:pStyle w:val="TDummy"/>
              <w:keepNext/>
              <w:rPr>
                <w:lang w:val="de-DE"/>
              </w:rPr>
            </w:pPr>
          </w:p>
        </w:tc>
        <w:tc>
          <w:tcPr>
            <w:tcW w:w="119" w:type="dxa"/>
            <w:tcBorders>
              <w:top w:val="single" w:sz="8" w:space="0" w:color="000000"/>
            </w:tcBorders>
            <w:noWrap/>
            <w:vAlign w:val="bottom"/>
          </w:tcPr>
          <w:p w14:paraId="40001A61" w14:textId="77777777" w:rsidR="00023CAA" w:rsidRPr="001100C2" w:rsidRDefault="00023CAA" w:rsidP="00804D18">
            <w:pPr>
              <w:pStyle w:val="TDummy"/>
              <w:keepNext/>
              <w:rPr>
                <w:lang w:val="de-DE"/>
              </w:rPr>
            </w:pPr>
          </w:p>
        </w:tc>
        <w:tc>
          <w:tcPr>
            <w:tcW w:w="1021" w:type="dxa"/>
            <w:tcBorders>
              <w:top w:val="single" w:sz="8" w:space="0" w:color="000000"/>
            </w:tcBorders>
            <w:noWrap/>
            <w:vAlign w:val="bottom"/>
          </w:tcPr>
          <w:p w14:paraId="5F00CB1C" w14:textId="77777777" w:rsidR="00023CAA" w:rsidRPr="001100C2" w:rsidRDefault="00023CAA" w:rsidP="00804D18">
            <w:pPr>
              <w:pStyle w:val="TDummy"/>
              <w:keepNext/>
              <w:rPr>
                <w:lang w:val="de-DE"/>
              </w:rPr>
            </w:pPr>
          </w:p>
        </w:tc>
        <w:tc>
          <w:tcPr>
            <w:tcW w:w="119" w:type="dxa"/>
            <w:tcBorders>
              <w:top w:val="single" w:sz="8" w:space="0" w:color="000000"/>
            </w:tcBorders>
            <w:noWrap/>
            <w:vAlign w:val="bottom"/>
          </w:tcPr>
          <w:p w14:paraId="3C7CE323" w14:textId="77777777" w:rsidR="00023CAA" w:rsidRPr="001100C2" w:rsidRDefault="00023CAA" w:rsidP="00804D18">
            <w:pPr>
              <w:pStyle w:val="TDummy"/>
              <w:keepNext/>
              <w:rPr>
                <w:lang w:val="de-DE"/>
              </w:rPr>
            </w:pPr>
          </w:p>
        </w:tc>
        <w:tc>
          <w:tcPr>
            <w:tcW w:w="1021" w:type="dxa"/>
            <w:tcBorders>
              <w:top w:val="single" w:sz="8" w:space="0" w:color="000000"/>
            </w:tcBorders>
            <w:noWrap/>
            <w:vAlign w:val="bottom"/>
          </w:tcPr>
          <w:p w14:paraId="1E229A1F" w14:textId="77777777" w:rsidR="00023CAA" w:rsidRPr="001100C2" w:rsidRDefault="00023CAA" w:rsidP="00804D18">
            <w:pPr>
              <w:pStyle w:val="TDummy"/>
              <w:keepNext/>
              <w:rPr>
                <w:lang w:val="de-DE"/>
              </w:rPr>
            </w:pPr>
          </w:p>
        </w:tc>
        <w:tc>
          <w:tcPr>
            <w:tcW w:w="119" w:type="dxa"/>
            <w:tcBorders>
              <w:top w:val="single" w:sz="8" w:space="0" w:color="000000"/>
            </w:tcBorders>
            <w:noWrap/>
            <w:vAlign w:val="bottom"/>
          </w:tcPr>
          <w:p w14:paraId="307F5A06" w14:textId="77777777" w:rsidR="00023CAA" w:rsidRPr="001100C2" w:rsidRDefault="00023CAA" w:rsidP="00804D18">
            <w:pPr>
              <w:pStyle w:val="TDummy"/>
              <w:keepNext/>
              <w:rPr>
                <w:lang w:val="de-DE"/>
              </w:rPr>
            </w:pPr>
          </w:p>
        </w:tc>
        <w:tc>
          <w:tcPr>
            <w:tcW w:w="1021" w:type="dxa"/>
            <w:tcBorders>
              <w:top w:val="single" w:sz="8" w:space="0" w:color="000000"/>
            </w:tcBorders>
            <w:noWrap/>
            <w:vAlign w:val="bottom"/>
          </w:tcPr>
          <w:p w14:paraId="20AD6BF4" w14:textId="77777777" w:rsidR="00023CAA" w:rsidRPr="001100C2" w:rsidRDefault="00023CAA" w:rsidP="00804D18">
            <w:pPr>
              <w:pStyle w:val="TDummy"/>
              <w:keepNext/>
              <w:rPr>
                <w:lang w:val="de-DE"/>
              </w:rPr>
            </w:pPr>
          </w:p>
        </w:tc>
        <w:tc>
          <w:tcPr>
            <w:tcW w:w="119" w:type="dxa"/>
            <w:tcBorders>
              <w:top w:val="single" w:sz="8" w:space="0" w:color="000000"/>
            </w:tcBorders>
            <w:noWrap/>
            <w:vAlign w:val="bottom"/>
          </w:tcPr>
          <w:p w14:paraId="381325F7" w14:textId="77777777" w:rsidR="00023CAA" w:rsidRPr="001100C2" w:rsidRDefault="00023CAA" w:rsidP="00804D18">
            <w:pPr>
              <w:pStyle w:val="TDummy"/>
              <w:keepNext/>
              <w:rPr>
                <w:lang w:val="de-DE"/>
              </w:rPr>
            </w:pPr>
          </w:p>
        </w:tc>
        <w:tc>
          <w:tcPr>
            <w:tcW w:w="1021" w:type="dxa"/>
            <w:tcBorders>
              <w:top w:val="single" w:sz="8" w:space="0" w:color="000000"/>
            </w:tcBorders>
            <w:noWrap/>
            <w:vAlign w:val="bottom"/>
          </w:tcPr>
          <w:p w14:paraId="51A442A8" w14:textId="77777777" w:rsidR="00023CAA" w:rsidRPr="001100C2" w:rsidRDefault="00023CAA" w:rsidP="00804D18">
            <w:pPr>
              <w:pStyle w:val="TDummy"/>
              <w:keepNext/>
              <w:rPr>
                <w:lang w:val="de-DE"/>
              </w:rPr>
            </w:pPr>
          </w:p>
        </w:tc>
        <w:tc>
          <w:tcPr>
            <w:tcW w:w="119" w:type="dxa"/>
            <w:noWrap/>
            <w:vAlign w:val="bottom"/>
          </w:tcPr>
          <w:p w14:paraId="259DFD47" w14:textId="77777777" w:rsidR="00023CAA" w:rsidRDefault="00023CAA" w:rsidP="00804D18">
            <w:pPr>
              <w:pStyle w:val="TBodynormalNumber"/>
              <w:keepNext/>
            </w:pPr>
          </w:p>
        </w:tc>
        <w:tc>
          <w:tcPr>
            <w:tcW w:w="1021" w:type="dxa"/>
            <w:noWrap/>
            <w:vAlign w:val="bottom"/>
          </w:tcPr>
          <w:p w14:paraId="390A42E4" w14:textId="77777777" w:rsidR="00023CAA" w:rsidRDefault="00023CAA" w:rsidP="00804D18">
            <w:pPr>
              <w:pStyle w:val="TBodynormalNumber"/>
              <w:keepNext/>
            </w:pPr>
          </w:p>
        </w:tc>
      </w:tr>
      <w:tr w:rsidR="00023CAA" w14:paraId="24416260" w14:textId="77777777" w:rsidTr="00804D18">
        <w:tc>
          <w:tcPr>
            <w:tcW w:w="2912" w:type="dxa"/>
            <w:shd w:val="clear" w:color="000000" w:fill="FFFFFF"/>
            <w:noWrap/>
            <w:vAlign w:val="bottom"/>
          </w:tcPr>
          <w:p w14:paraId="106F6E3A" w14:textId="77777777" w:rsidR="00023CAA" w:rsidRDefault="00023CAA" w:rsidP="00804D18">
            <w:pPr>
              <w:pStyle w:val="THeadfirstNumber"/>
            </w:pPr>
            <w:bookmarkStart w:id="22" w:name="RANGE!B25:N25"/>
            <w:bookmarkStart w:id="23" w:name="RANGE!B25"/>
            <w:bookmarkEnd w:id="22"/>
            <w:bookmarkEnd w:id="23"/>
          </w:p>
        </w:tc>
        <w:tc>
          <w:tcPr>
            <w:tcW w:w="119" w:type="dxa"/>
            <w:noWrap/>
            <w:vAlign w:val="bottom"/>
          </w:tcPr>
          <w:p w14:paraId="1DE45C0C" w14:textId="77777777" w:rsidR="00023CAA" w:rsidRDefault="00023CAA" w:rsidP="00804D18">
            <w:pPr>
              <w:pStyle w:val="THeadfirstNumber"/>
            </w:pPr>
          </w:p>
        </w:tc>
        <w:tc>
          <w:tcPr>
            <w:tcW w:w="3301" w:type="dxa"/>
            <w:gridSpan w:val="5"/>
            <w:tcBorders>
              <w:bottom w:val="single" w:sz="4" w:space="0" w:color="A59C94"/>
            </w:tcBorders>
            <w:shd w:val="clear" w:color="000000" w:fill="FFFFFF"/>
            <w:noWrap/>
            <w:vAlign w:val="center"/>
          </w:tcPr>
          <w:p w14:paraId="5CABFBF1" w14:textId="77777777" w:rsidR="00023CAA" w:rsidRDefault="00023CAA" w:rsidP="00804D18">
            <w:pPr>
              <w:pStyle w:val="THeadfirstNumber"/>
            </w:pPr>
            <w:r>
              <w:t>Umsatz</w:t>
            </w:r>
          </w:p>
        </w:tc>
        <w:tc>
          <w:tcPr>
            <w:tcW w:w="119" w:type="dxa"/>
            <w:vAlign w:val="center"/>
          </w:tcPr>
          <w:p w14:paraId="4CED469C" w14:textId="77777777" w:rsidR="00023CAA" w:rsidRDefault="00023CAA" w:rsidP="00804D18">
            <w:pPr>
              <w:pStyle w:val="THeadfirstNumber"/>
            </w:pPr>
          </w:p>
        </w:tc>
        <w:tc>
          <w:tcPr>
            <w:tcW w:w="3301" w:type="dxa"/>
            <w:gridSpan w:val="5"/>
            <w:tcBorders>
              <w:bottom w:val="single" w:sz="4" w:space="0" w:color="A59C94"/>
            </w:tcBorders>
            <w:shd w:val="clear" w:color="000000" w:fill="FFFFFF"/>
            <w:noWrap/>
            <w:vAlign w:val="center"/>
          </w:tcPr>
          <w:p w14:paraId="45BAA464" w14:textId="77777777" w:rsidR="00023CAA" w:rsidRDefault="00023CAA" w:rsidP="00804D18">
            <w:pPr>
              <w:pStyle w:val="THeadfirstNumber"/>
            </w:pPr>
            <w:r>
              <w:t>Bereinigtes EBITDA</w:t>
            </w:r>
          </w:p>
        </w:tc>
      </w:tr>
      <w:tr w:rsidR="00023CAA" w14:paraId="3958C210" w14:textId="77777777" w:rsidTr="00804D18">
        <w:tc>
          <w:tcPr>
            <w:tcW w:w="2912" w:type="dxa"/>
            <w:tcBorders>
              <w:bottom w:val="single" w:sz="4" w:space="0" w:color="A59C94"/>
            </w:tcBorders>
            <w:shd w:val="clear" w:color="000000" w:fill="FFFFFF"/>
            <w:noWrap/>
            <w:vAlign w:val="bottom"/>
          </w:tcPr>
          <w:p w14:paraId="7B67D2BD" w14:textId="77777777" w:rsidR="00023CAA" w:rsidRDefault="00023CAA" w:rsidP="00804D18">
            <w:pPr>
              <w:pStyle w:val="THeadlastText"/>
            </w:pPr>
            <w:bookmarkStart w:id="24" w:name="RANGE!B26:N26"/>
            <w:bookmarkEnd w:id="24"/>
            <w:r>
              <w:t>in Millionen €</w:t>
            </w:r>
          </w:p>
        </w:tc>
        <w:tc>
          <w:tcPr>
            <w:tcW w:w="119" w:type="dxa"/>
            <w:noWrap/>
            <w:vAlign w:val="bottom"/>
          </w:tcPr>
          <w:p w14:paraId="590CA301"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54D6516D" w14:textId="77777777" w:rsidR="00023CAA" w:rsidRDefault="00023CAA" w:rsidP="00804D18">
            <w:pPr>
              <w:pStyle w:val="THeadlastNumber"/>
            </w:pPr>
            <w:r>
              <w:t>2019</w:t>
            </w:r>
          </w:p>
        </w:tc>
        <w:tc>
          <w:tcPr>
            <w:tcW w:w="119" w:type="dxa"/>
            <w:vAlign w:val="center"/>
          </w:tcPr>
          <w:p w14:paraId="3CFEAA4D"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10D80E70" w14:textId="77777777" w:rsidR="00023CAA" w:rsidRDefault="00023CAA" w:rsidP="00804D18">
            <w:pPr>
              <w:pStyle w:val="THeadlastNumberbold"/>
            </w:pPr>
            <w:bookmarkStart w:id="25" w:name="RANGE!F26:F32"/>
            <w:bookmarkEnd w:id="25"/>
            <w:r>
              <w:t>2020</w:t>
            </w:r>
          </w:p>
        </w:tc>
        <w:tc>
          <w:tcPr>
            <w:tcW w:w="119" w:type="dxa"/>
            <w:vAlign w:val="center"/>
          </w:tcPr>
          <w:p w14:paraId="4BAE9695"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03D3BF4E" w14:textId="77777777" w:rsidR="00023CAA" w:rsidRDefault="00023CAA" w:rsidP="00804D18">
            <w:pPr>
              <w:pStyle w:val="THeaddifferenceNumber"/>
              <w:keepNext/>
            </w:pPr>
            <w:bookmarkStart w:id="26" w:name="RANGE!H26:H32"/>
            <w:bookmarkEnd w:id="26"/>
            <w:r>
              <w:t>Veränd. in %</w:t>
            </w:r>
          </w:p>
        </w:tc>
        <w:tc>
          <w:tcPr>
            <w:tcW w:w="119" w:type="dxa"/>
            <w:vAlign w:val="center"/>
          </w:tcPr>
          <w:p w14:paraId="6D5EB966"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65FB6262" w14:textId="77777777" w:rsidR="00023CAA" w:rsidRDefault="00023CAA" w:rsidP="00804D18">
            <w:pPr>
              <w:pStyle w:val="THeadlastNumber"/>
            </w:pPr>
            <w:r>
              <w:t>2019</w:t>
            </w:r>
          </w:p>
        </w:tc>
        <w:tc>
          <w:tcPr>
            <w:tcW w:w="119" w:type="dxa"/>
            <w:vAlign w:val="center"/>
          </w:tcPr>
          <w:p w14:paraId="77FA2BD4"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5370693D" w14:textId="77777777" w:rsidR="00023CAA" w:rsidRDefault="00023CAA" w:rsidP="00804D18">
            <w:pPr>
              <w:pStyle w:val="THeadlastNumberbold"/>
            </w:pPr>
            <w:bookmarkStart w:id="27" w:name="RANGE!L26:L32"/>
            <w:bookmarkEnd w:id="27"/>
            <w:r>
              <w:t>2020</w:t>
            </w:r>
          </w:p>
        </w:tc>
        <w:tc>
          <w:tcPr>
            <w:tcW w:w="119" w:type="dxa"/>
            <w:vAlign w:val="center"/>
          </w:tcPr>
          <w:p w14:paraId="1A822181" w14:textId="77777777" w:rsidR="00023CAA" w:rsidRDefault="00023CAA" w:rsidP="00804D18">
            <w:pPr>
              <w:pStyle w:val="TBodynormalNumber"/>
              <w:keepNext/>
            </w:pPr>
          </w:p>
        </w:tc>
        <w:tc>
          <w:tcPr>
            <w:tcW w:w="1021" w:type="dxa"/>
            <w:tcBorders>
              <w:top w:val="single" w:sz="4" w:space="0" w:color="A59C94"/>
              <w:bottom w:val="single" w:sz="4" w:space="0" w:color="A59C94"/>
            </w:tcBorders>
            <w:vAlign w:val="center"/>
          </w:tcPr>
          <w:p w14:paraId="0D4C0B43" w14:textId="77777777" w:rsidR="00023CAA" w:rsidRDefault="00023CAA" w:rsidP="00804D18">
            <w:pPr>
              <w:pStyle w:val="TBodynormalNumber"/>
              <w:keepNext/>
            </w:pPr>
            <w:bookmarkStart w:id="28" w:name="RANGE!N26:N32"/>
            <w:bookmarkEnd w:id="28"/>
            <w:r>
              <w:t>Veränd. in %</w:t>
            </w:r>
          </w:p>
        </w:tc>
      </w:tr>
      <w:tr w:rsidR="00023CAA" w14:paraId="5F5C3610" w14:textId="77777777" w:rsidTr="00804D18">
        <w:tc>
          <w:tcPr>
            <w:tcW w:w="2912" w:type="dxa"/>
            <w:tcBorders>
              <w:top w:val="single" w:sz="4" w:space="0" w:color="A59C94"/>
              <w:bottom w:val="single" w:sz="4" w:space="0" w:color="A59C94"/>
            </w:tcBorders>
            <w:noWrap/>
            <w:vAlign w:val="bottom"/>
          </w:tcPr>
          <w:p w14:paraId="1D19A68C" w14:textId="77777777" w:rsidR="00023CAA" w:rsidRDefault="00023CAA" w:rsidP="00804D18">
            <w:pPr>
              <w:pStyle w:val="TBodynormalText"/>
            </w:pPr>
            <w:r>
              <w:t>Nutrition &amp; Care</w:t>
            </w:r>
          </w:p>
        </w:tc>
        <w:tc>
          <w:tcPr>
            <w:tcW w:w="119" w:type="dxa"/>
            <w:noWrap/>
            <w:vAlign w:val="bottom"/>
          </w:tcPr>
          <w:p w14:paraId="7C170E5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B8D21E1" w14:textId="77777777" w:rsidR="00023CAA" w:rsidRDefault="00023CAA" w:rsidP="00804D18">
            <w:pPr>
              <w:pStyle w:val="TBodynormalNumber"/>
              <w:keepNext/>
            </w:pPr>
            <w:r>
              <w:t>1.131</w:t>
            </w:r>
          </w:p>
        </w:tc>
        <w:tc>
          <w:tcPr>
            <w:tcW w:w="119" w:type="dxa"/>
            <w:noWrap/>
            <w:vAlign w:val="bottom"/>
          </w:tcPr>
          <w:p w14:paraId="1059704F"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23649AF" w14:textId="77777777" w:rsidR="00023CAA" w:rsidRDefault="00023CAA" w:rsidP="00804D18">
            <w:pPr>
              <w:pStyle w:val="TBodynormalNumber"/>
              <w:keepNext/>
            </w:pPr>
            <w:r>
              <w:t>1.085</w:t>
            </w:r>
          </w:p>
        </w:tc>
        <w:tc>
          <w:tcPr>
            <w:tcW w:w="119" w:type="dxa"/>
            <w:noWrap/>
            <w:vAlign w:val="bottom"/>
          </w:tcPr>
          <w:p w14:paraId="07B5A74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EDE1292" w14:textId="77777777" w:rsidR="00023CAA" w:rsidRDefault="00023CAA" w:rsidP="00804D18">
            <w:pPr>
              <w:pStyle w:val="TBodynormalNumber"/>
              <w:keepNext/>
            </w:pPr>
            <w:r>
              <w:t>-4</w:t>
            </w:r>
          </w:p>
        </w:tc>
        <w:tc>
          <w:tcPr>
            <w:tcW w:w="119" w:type="dxa"/>
            <w:noWrap/>
            <w:vAlign w:val="bottom"/>
          </w:tcPr>
          <w:p w14:paraId="087B607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0300DD3" w14:textId="77777777" w:rsidR="00023CAA" w:rsidRDefault="00023CAA" w:rsidP="00804D18">
            <w:pPr>
              <w:pStyle w:val="TBodynormalNumber"/>
              <w:keepNext/>
            </w:pPr>
            <w:r>
              <w:t>190</w:t>
            </w:r>
          </w:p>
        </w:tc>
        <w:tc>
          <w:tcPr>
            <w:tcW w:w="119" w:type="dxa"/>
            <w:noWrap/>
            <w:vAlign w:val="bottom"/>
          </w:tcPr>
          <w:p w14:paraId="4E8EF64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D8BA69D" w14:textId="77777777" w:rsidR="00023CAA" w:rsidRDefault="00023CAA" w:rsidP="00804D18">
            <w:pPr>
              <w:pStyle w:val="TBodynormalNumber"/>
              <w:keepNext/>
            </w:pPr>
            <w:r>
              <w:t>217</w:t>
            </w:r>
          </w:p>
        </w:tc>
        <w:tc>
          <w:tcPr>
            <w:tcW w:w="119" w:type="dxa"/>
            <w:noWrap/>
            <w:vAlign w:val="bottom"/>
          </w:tcPr>
          <w:p w14:paraId="5183B79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5260A0C" w14:textId="77777777" w:rsidR="00023CAA" w:rsidRDefault="00023CAA" w:rsidP="00804D18">
            <w:pPr>
              <w:pStyle w:val="TBodynormalNumber"/>
              <w:keepNext/>
            </w:pPr>
            <w:r>
              <w:t>14</w:t>
            </w:r>
          </w:p>
        </w:tc>
      </w:tr>
      <w:tr w:rsidR="00023CAA" w14:paraId="3B49B88D" w14:textId="77777777" w:rsidTr="00804D18">
        <w:tc>
          <w:tcPr>
            <w:tcW w:w="2912" w:type="dxa"/>
            <w:tcBorders>
              <w:top w:val="single" w:sz="4" w:space="0" w:color="A59C94"/>
              <w:bottom w:val="single" w:sz="4" w:space="0" w:color="A59C94"/>
            </w:tcBorders>
            <w:noWrap/>
            <w:vAlign w:val="bottom"/>
          </w:tcPr>
          <w:p w14:paraId="6F92FD7E" w14:textId="77777777" w:rsidR="00023CAA" w:rsidRDefault="00023CAA" w:rsidP="00804D18">
            <w:pPr>
              <w:pStyle w:val="TBodynormalText"/>
            </w:pPr>
            <w:r>
              <w:t>Resource Efficiency</w:t>
            </w:r>
          </w:p>
        </w:tc>
        <w:tc>
          <w:tcPr>
            <w:tcW w:w="119" w:type="dxa"/>
            <w:noWrap/>
            <w:vAlign w:val="bottom"/>
          </w:tcPr>
          <w:p w14:paraId="7513CA6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347AB9B" w14:textId="77777777" w:rsidR="00023CAA" w:rsidRDefault="00023CAA" w:rsidP="00804D18">
            <w:pPr>
              <w:pStyle w:val="TBodynormalNumber"/>
              <w:keepNext/>
            </w:pPr>
            <w:r>
              <w:t>1.445</w:t>
            </w:r>
          </w:p>
        </w:tc>
        <w:tc>
          <w:tcPr>
            <w:tcW w:w="119" w:type="dxa"/>
            <w:noWrap/>
            <w:vAlign w:val="bottom"/>
          </w:tcPr>
          <w:p w14:paraId="3F8F0DF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E184A9F" w14:textId="77777777" w:rsidR="00023CAA" w:rsidRDefault="00023CAA" w:rsidP="00804D18">
            <w:pPr>
              <w:pStyle w:val="TBodynormalNumber"/>
              <w:keepNext/>
            </w:pPr>
            <w:r>
              <w:t>1.244</w:t>
            </w:r>
          </w:p>
        </w:tc>
        <w:tc>
          <w:tcPr>
            <w:tcW w:w="119" w:type="dxa"/>
            <w:noWrap/>
            <w:vAlign w:val="bottom"/>
          </w:tcPr>
          <w:p w14:paraId="34F399F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06586D9" w14:textId="77777777" w:rsidR="00023CAA" w:rsidRDefault="00023CAA" w:rsidP="00804D18">
            <w:pPr>
              <w:pStyle w:val="TBodynormalNumber"/>
              <w:keepNext/>
            </w:pPr>
            <w:r>
              <w:t>-14</w:t>
            </w:r>
          </w:p>
        </w:tc>
        <w:tc>
          <w:tcPr>
            <w:tcW w:w="119" w:type="dxa"/>
            <w:noWrap/>
            <w:vAlign w:val="bottom"/>
          </w:tcPr>
          <w:p w14:paraId="51F2F392"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076FF7B" w14:textId="77777777" w:rsidR="00023CAA" w:rsidRDefault="00023CAA" w:rsidP="00804D18">
            <w:pPr>
              <w:pStyle w:val="TBodynormalNumber"/>
              <w:keepNext/>
            </w:pPr>
            <w:r>
              <w:t>326</w:t>
            </w:r>
          </w:p>
        </w:tc>
        <w:tc>
          <w:tcPr>
            <w:tcW w:w="119" w:type="dxa"/>
            <w:noWrap/>
            <w:vAlign w:val="bottom"/>
          </w:tcPr>
          <w:p w14:paraId="2033F8F0"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4E1CE5B" w14:textId="77777777" w:rsidR="00023CAA" w:rsidRDefault="00023CAA" w:rsidP="00804D18">
            <w:pPr>
              <w:pStyle w:val="TBodynormalNumber"/>
              <w:keepNext/>
            </w:pPr>
            <w:r>
              <w:t>255</w:t>
            </w:r>
          </w:p>
        </w:tc>
        <w:tc>
          <w:tcPr>
            <w:tcW w:w="119" w:type="dxa"/>
            <w:noWrap/>
            <w:vAlign w:val="bottom"/>
          </w:tcPr>
          <w:p w14:paraId="65B6314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98C6D4C" w14:textId="77777777" w:rsidR="00023CAA" w:rsidRDefault="00023CAA" w:rsidP="00804D18">
            <w:pPr>
              <w:pStyle w:val="TBodynormalNumber"/>
              <w:keepNext/>
            </w:pPr>
            <w:r>
              <w:t>-22</w:t>
            </w:r>
          </w:p>
        </w:tc>
      </w:tr>
      <w:tr w:rsidR="00023CAA" w14:paraId="6B6976AB" w14:textId="77777777" w:rsidTr="00804D18">
        <w:tc>
          <w:tcPr>
            <w:tcW w:w="2912" w:type="dxa"/>
            <w:tcBorders>
              <w:top w:val="single" w:sz="4" w:space="0" w:color="A59C94"/>
              <w:bottom w:val="single" w:sz="4" w:space="0" w:color="A59C94"/>
            </w:tcBorders>
            <w:noWrap/>
            <w:vAlign w:val="bottom"/>
          </w:tcPr>
          <w:p w14:paraId="1639DF0E" w14:textId="77777777" w:rsidR="00023CAA" w:rsidRDefault="00023CAA" w:rsidP="00804D18">
            <w:pPr>
              <w:pStyle w:val="TBodynormalText"/>
            </w:pPr>
            <w:r>
              <w:t>Performance Materials</w:t>
            </w:r>
          </w:p>
        </w:tc>
        <w:tc>
          <w:tcPr>
            <w:tcW w:w="119" w:type="dxa"/>
            <w:noWrap/>
            <w:vAlign w:val="bottom"/>
          </w:tcPr>
          <w:p w14:paraId="452EC9CB"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F0042F2" w14:textId="77777777" w:rsidR="00023CAA" w:rsidRDefault="00023CAA" w:rsidP="00804D18">
            <w:pPr>
              <w:pStyle w:val="TBodynormalNumber"/>
              <w:keepNext/>
            </w:pPr>
            <w:r>
              <w:t>553</w:t>
            </w:r>
          </w:p>
        </w:tc>
        <w:tc>
          <w:tcPr>
            <w:tcW w:w="119" w:type="dxa"/>
            <w:noWrap/>
            <w:vAlign w:val="bottom"/>
          </w:tcPr>
          <w:p w14:paraId="3814FB5B"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7FBA9CD" w14:textId="77777777" w:rsidR="00023CAA" w:rsidRDefault="00023CAA" w:rsidP="00804D18">
            <w:pPr>
              <w:pStyle w:val="TBodynormalNumber"/>
              <w:keepNext/>
            </w:pPr>
            <w:r>
              <w:t>319</w:t>
            </w:r>
          </w:p>
        </w:tc>
        <w:tc>
          <w:tcPr>
            <w:tcW w:w="119" w:type="dxa"/>
            <w:noWrap/>
            <w:vAlign w:val="bottom"/>
          </w:tcPr>
          <w:p w14:paraId="2CADEBD9"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73DBD86" w14:textId="77777777" w:rsidR="00023CAA" w:rsidRDefault="00023CAA" w:rsidP="00804D18">
            <w:pPr>
              <w:pStyle w:val="TBodynormalNumber"/>
              <w:keepNext/>
            </w:pPr>
            <w:r>
              <w:t>-42</w:t>
            </w:r>
          </w:p>
        </w:tc>
        <w:tc>
          <w:tcPr>
            <w:tcW w:w="119" w:type="dxa"/>
            <w:noWrap/>
            <w:vAlign w:val="bottom"/>
          </w:tcPr>
          <w:p w14:paraId="069C816B"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D1DA124" w14:textId="77777777" w:rsidR="00023CAA" w:rsidRDefault="00023CAA" w:rsidP="00804D18">
            <w:pPr>
              <w:pStyle w:val="TBodynormalNumber"/>
              <w:keepNext/>
            </w:pPr>
            <w:r>
              <w:t>74</w:t>
            </w:r>
          </w:p>
        </w:tc>
        <w:tc>
          <w:tcPr>
            <w:tcW w:w="119" w:type="dxa"/>
            <w:noWrap/>
            <w:vAlign w:val="bottom"/>
          </w:tcPr>
          <w:p w14:paraId="34BBAF8E"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F4AAD62" w14:textId="77777777" w:rsidR="00023CAA" w:rsidRDefault="00023CAA" w:rsidP="00804D18">
            <w:pPr>
              <w:pStyle w:val="TBodynormalNumber"/>
              <w:keepNext/>
            </w:pPr>
            <w:r>
              <w:t>11</w:t>
            </w:r>
          </w:p>
        </w:tc>
        <w:tc>
          <w:tcPr>
            <w:tcW w:w="119" w:type="dxa"/>
            <w:noWrap/>
            <w:vAlign w:val="bottom"/>
          </w:tcPr>
          <w:p w14:paraId="0EEA576E"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F28CDBC" w14:textId="77777777" w:rsidR="00023CAA" w:rsidRDefault="00023CAA" w:rsidP="00804D18">
            <w:pPr>
              <w:pStyle w:val="TBodynormalNumber"/>
              <w:keepNext/>
            </w:pPr>
            <w:r>
              <w:t>-85</w:t>
            </w:r>
          </w:p>
        </w:tc>
      </w:tr>
      <w:tr w:rsidR="00023CAA" w14:paraId="7CAA6F0D" w14:textId="77777777" w:rsidTr="00804D18">
        <w:tc>
          <w:tcPr>
            <w:tcW w:w="2912" w:type="dxa"/>
            <w:tcBorders>
              <w:top w:val="single" w:sz="4" w:space="0" w:color="A59C94"/>
              <w:bottom w:val="single" w:sz="4" w:space="0" w:color="A59C94"/>
            </w:tcBorders>
            <w:noWrap/>
            <w:vAlign w:val="bottom"/>
          </w:tcPr>
          <w:p w14:paraId="47FA6200" w14:textId="77777777" w:rsidR="00023CAA" w:rsidRDefault="00023CAA" w:rsidP="00804D18">
            <w:pPr>
              <w:pStyle w:val="TBodynormalText"/>
            </w:pPr>
            <w:r>
              <w:t>Services</w:t>
            </w:r>
          </w:p>
        </w:tc>
        <w:tc>
          <w:tcPr>
            <w:tcW w:w="119" w:type="dxa"/>
            <w:noWrap/>
            <w:vAlign w:val="bottom"/>
          </w:tcPr>
          <w:p w14:paraId="6B8E78C8"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3BC883E" w14:textId="77777777" w:rsidR="00023CAA" w:rsidRDefault="00023CAA" w:rsidP="00804D18">
            <w:pPr>
              <w:pStyle w:val="TBodynormalNumber"/>
              <w:keepNext/>
            </w:pPr>
            <w:r>
              <w:t>171</w:t>
            </w:r>
          </w:p>
        </w:tc>
        <w:tc>
          <w:tcPr>
            <w:tcW w:w="119" w:type="dxa"/>
            <w:noWrap/>
            <w:vAlign w:val="bottom"/>
          </w:tcPr>
          <w:p w14:paraId="02C38878"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257242F" w14:textId="77777777" w:rsidR="00023CAA" w:rsidRDefault="00023CAA" w:rsidP="00804D18">
            <w:pPr>
              <w:pStyle w:val="TBodynormalNumber"/>
              <w:keepNext/>
            </w:pPr>
            <w:r>
              <w:t>171</w:t>
            </w:r>
          </w:p>
        </w:tc>
        <w:tc>
          <w:tcPr>
            <w:tcW w:w="119" w:type="dxa"/>
            <w:noWrap/>
            <w:vAlign w:val="bottom"/>
          </w:tcPr>
          <w:p w14:paraId="0413E896"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ACE6DE1" w14:textId="77777777" w:rsidR="00023CAA" w:rsidRDefault="00023CAA" w:rsidP="00804D18">
            <w:pPr>
              <w:pStyle w:val="TBodynormalNumber"/>
              <w:keepNext/>
            </w:pPr>
            <w:r>
              <w:t>–</w:t>
            </w:r>
          </w:p>
        </w:tc>
        <w:tc>
          <w:tcPr>
            <w:tcW w:w="119" w:type="dxa"/>
            <w:noWrap/>
            <w:vAlign w:val="bottom"/>
          </w:tcPr>
          <w:p w14:paraId="2C5A0ABC"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55A9867" w14:textId="77777777" w:rsidR="00023CAA" w:rsidRDefault="00023CAA" w:rsidP="00804D18">
            <w:pPr>
              <w:pStyle w:val="TBodynormalNumber"/>
              <w:keepNext/>
            </w:pPr>
            <w:r>
              <w:t>36</w:t>
            </w:r>
          </w:p>
        </w:tc>
        <w:tc>
          <w:tcPr>
            <w:tcW w:w="119" w:type="dxa"/>
            <w:noWrap/>
            <w:vAlign w:val="bottom"/>
          </w:tcPr>
          <w:p w14:paraId="4F95738B"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37E8A51" w14:textId="77777777" w:rsidR="00023CAA" w:rsidRDefault="00023CAA" w:rsidP="00804D18">
            <w:pPr>
              <w:pStyle w:val="TBodynormalNumber"/>
              <w:keepNext/>
            </w:pPr>
            <w:r>
              <w:t>37</w:t>
            </w:r>
          </w:p>
        </w:tc>
        <w:tc>
          <w:tcPr>
            <w:tcW w:w="119" w:type="dxa"/>
            <w:noWrap/>
            <w:vAlign w:val="bottom"/>
          </w:tcPr>
          <w:p w14:paraId="188D11B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6ECFCC8" w14:textId="77777777" w:rsidR="00023CAA" w:rsidRDefault="00023CAA" w:rsidP="00804D18">
            <w:pPr>
              <w:pStyle w:val="TBodynormalNumber"/>
              <w:keepNext/>
            </w:pPr>
            <w:r>
              <w:t>3</w:t>
            </w:r>
          </w:p>
        </w:tc>
      </w:tr>
      <w:tr w:rsidR="00023CAA" w14:paraId="3FC890F4" w14:textId="77777777" w:rsidTr="00804D18">
        <w:tc>
          <w:tcPr>
            <w:tcW w:w="2912" w:type="dxa"/>
            <w:tcBorders>
              <w:top w:val="single" w:sz="4" w:space="0" w:color="A59C94"/>
              <w:bottom w:val="single" w:sz="4" w:space="0" w:color="A59C94"/>
            </w:tcBorders>
            <w:noWrap/>
            <w:vAlign w:val="bottom"/>
          </w:tcPr>
          <w:p w14:paraId="3173433B" w14:textId="77777777" w:rsidR="00023CAA" w:rsidRDefault="00023CAA" w:rsidP="00804D18">
            <w:pPr>
              <w:pStyle w:val="TBodynormalText"/>
            </w:pPr>
            <w:r>
              <w:t>Sonstige Aktivitäten</w:t>
            </w:r>
          </w:p>
        </w:tc>
        <w:tc>
          <w:tcPr>
            <w:tcW w:w="119" w:type="dxa"/>
            <w:noWrap/>
            <w:vAlign w:val="bottom"/>
          </w:tcPr>
          <w:p w14:paraId="2DE6EB8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EE568C4" w14:textId="77777777" w:rsidR="00023CAA" w:rsidRDefault="00023CAA" w:rsidP="00804D18">
            <w:pPr>
              <w:pStyle w:val="TBodynormalNumber"/>
              <w:keepNext/>
            </w:pPr>
            <w:r>
              <w:t>6</w:t>
            </w:r>
          </w:p>
        </w:tc>
        <w:tc>
          <w:tcPr>
            <w:tcW w:w="119" w:type="dxa"/>
            <w:noWrap/>
            <w:vAlign w:val="bottom"/>
          </w:tcPr>
          <w:p w14:paraId="11F0E3D3"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160C71A" w14:textId="77777777" w:rsidR="00023CAA" w:rsidRDefault="00023CAA" w:rsidP="00804D18">
            <w:pPr>
              <w:pStyle w:val="TBodynormalNumber"/>
              <w:keepNext/>
            </w:pPr>
            <w:r>
              <w:t>8</w:t>
            </w:r>
          </w:p>
        </w:tc>
        <w:tc>
          <w:tcPr>
            <w:tcW w:w="119" w:type="dxa"/>
            <w:noWrap/>
            <w:vAlign w:val="bottom"/>
          </w:tcPr>
          <w:p w14:paraId="58C32C27"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281A9BC" w14:textId="77777777" w:rsidR="00023CAA" w:rsidRDefault="00023CAA" w:rsidP="00804D18">
            <w:pPr>
              <w:pStyle w:val="TBodynormalNumber"/>
              <w:keepNext/>
            </w:pPr>
            <w:r>
              <w:t>33</w:t>
            </w:r>
          </w:p>
        </w:tc>
        <w:tc>
          <w:tcPr>
            <w:tcW w:w="119" w:type="dxa"/>
            <w:noWrap/>
            <w:vAlign w:val="bottom"/>
          </w:tcPr>
          <w:p w14:paraId="53597BC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AEE12AE" w14:textId="77777777" w:rsidR="00023CAA" w:rsidRDefault="00023CAA" w:rsidP="00804D18">
            <w:pPr>
              <w:pStyle w:val="TBodynormalNumber"/>
              <w:keepNext/>
            </w:pPr>
            <w:r>
              <w:t>-60</w:t>
            </w:r>
          </w:p>
        </w:tc>
        <w:tc>
          <w:tcPr>
            <w:tcW w:w="119" w:type="dxa"/>
            <w:noWrap/>
            <w:vAlign w:val="bottom"/>
          </w:tcPr>
          <w:p w14:paraId="0A4F5616"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0A6384D" w14:textId="77777777" w:rsidR="00023CAA" w:rsidRDefault="00023CAA" w:rsidP="00804D18">
            <w:pPr>
              <w:pStyle w:val="TBodynormalNumber"/>
              <w:keepNext/>
            </w:pPr>
            <w:r>
              <w:t>-64</w:t>
            </w:r>
          </w:p>
        </w:tc>
        <w:tc>
          <w:tcPr>
            <w:tcW w:w="119" w:type="dxa"/>
            <w:noWrap/>
            <w:vAlign w:val="bottom"/>
          </w:tcPr>
          <w:p w14:paraId="23CA9F3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F49DDA3" w14:textId="77777777" w:rsidR="00023CAA" w:rsidRDefault="00023CAA" w:rsidP="00804D18">
            <w:pPr>
              <w:pStyle w:val="TBodynormalNumber"/>
              <w:keepNext/>
            </w:pPr>
            <w:r>
              <w:t>-7</w:t>
            </w:r>
          </w:p>
        </w:tc>
      </w:tr>
      <w:tr w:rsidR="00023CAA" w14:paraId="2E85062B" w14:textId="77777777" w:rsidTr="00804D18">
        <w:tc>
          <w:tcPr>
            <w:tcW w:w="2912" w:type="dxa"/>
            <w:tcBorders>
              <w:top w:val="single" w:sz="4" w:space="0" w:color="A59C94"/>
              <w:bottom w:val="single" w:sz="8" w:space="0" w:color="991D85"/>
            </w:tcBorders>
            <w:noWrap/>
            <w:vAlign w:val="bottom"/>
          </w:tcPr>
          <w:p w14:paraId="0C6DB936" w14:textId="77777777" w:rsidR="00023CAA" w:rsidRDefault="00023CAA" w:rsidP="00804D18">
            <w:pPr>
              <w:pStyle w:val="TBodytotalText"/>
            </w:pPr>
            <w:bookmarkStart w:id="29" w:name="RANGE!B32:N32"/>
            <w:bookmarkEnd w:id="29"/>
            <w:r>
              <w:t>Konzern</w:t>
            </w:r>
          </w:p>
        </w:tc>
        <w:tc>
          <w:tcPr>
            <w:tcW w:w="119" w:type="dxa"/>
            <w:tcBorders>
              <w:bottom w:val="single" w:sz="8" w:space="0" w:color="991D85"/>
            </w:tcBorders>
            <w:noWrap/>
            <w:vAlign w:val="bottom"/>
          </w:tcPr>
          <w:p w14:paraId="6866F48D"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50C0BE4E" w14:textId="77777777" w:rsidR="00023CAA" w:rsidRDefault="00023CAA" w:rsidP="00804D18">
            <w:pPr>
              <w:pStyle w:val="TBodytotalNumber"/>
            </w:pPr>
            <w:r>
              <w:t>3.306</w:t>
            </w:r>
          </w:p>
        </w:tc>
        <w:tc>
          <w:tcPr>
            <w:tcW w:w="119" w:type="dxa"/>
            <w:tcBorders>
              <w:bottom w:val="single" w:sz="8" w:space="0" w:color="991D85"/>
            </w:tcBorders>
            <w:noWrap/>
            <w:vAlign w:val="bottom"/>
          </w:tcPr>
          <w:p w14:paraId="0D51A48F"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1022BCD9" w14:textId="77777777" w:rsidR="00023CAA" w:rsidRDefault="00023CAA" w:rsidP="00804D18">
            <w:pPr>
              <w:pStyle w:val="TBodytotalNumber"/>
            </w:pPr>
            <w:r>
              <w:t>2.827</w:t>
            </w:r>
          </w:p>
        </w:tc>
        <w:tc>
          <w:tcPr>
            <w:tcW w:w="119" w:type="dxa"/>
            <w:tcBorders>
              <w:bottom w:val="single" w:sz="8" w:space="0" w:color="991D85"/>
            </w:tcBorders>
            <w:noWrap/>
            <w:vAlign w:val="bottom"/>
          </w:tcPr>
          <w:p w14:paraId="1FB37B78"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43946BA2" w14:textId="77777777" w:rsidR="00023CAA" w:rsidRDefault="00023CAA" w:rsidP="00804D18">
            <w:pPr>
              <w:pStyle w:val="TBodytotalNumber"/>
            </w:pPr>
            <w:r>
              <w:t>-14</w:t>
            </w:r>
          </w:p>
        </w:tc>
        <w:tc>
          <w:tcPr>
            <w:tcW w:w="119" w:type="dxa"/>
            <w:tcBorders>
              <w:bottom w:val="single" w:sz="8" w:space="0" w:color="991D85"/>
            </w:tcBorders>
            <w:noWrap/>
            <w:vAlign w:val="bottom"/>
          </w:tcPr>
          <w:p w14:paraId="2FF1F2CE"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6FFC9137" w14:textId="77777777" w:rsidR="00023CAA" w:rsidRDefault="00023CAA" w:rsidP="00804D18">
            <w:pPr>
              <w:pStyle w:val="TBodytotalNumber"/>
            </w:pPr>
            <w:r>
              <w:t>566</w:t>
            </w:r>
          </w:p>
        </w:tc>
        <w:tc>
          <w:tcPr>
            <w:tcW w:w="119" w:type="dxa"/>
            <w:tcBorders>
              <w:bottom w:val="single" w:sz="8" w:space="0" w:color="991D85"/>
            </w:tcBorders>
            <w:noWrap/>
            <w:vAlign w:val="bottom"/>
          </w:tcPr>
          <w:p w14:paraId="475BD6A7"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29469F42" w14:textId="77777777" w:rsidR="00023CAA" w:rsidRDefault="00023CAA" w:rsidP="00804D18">
            <w:pPr>
              <w:pStyle w:val="TBodytotalNumber"/>
            </w:pPr>
            <w:r>
              <w:t>456</w:t>
            </w:r>
          </w:p>
        </w:tc>
        <w:tc>
          <w:tcPr>
            <w:tcW w:w="119" w:type="dxa"/>
            <w:tcBorders>
              <w:bottom w:val="single" w:sz="4" w:space="0" w:color="991D85"/>
            </w:tcBorders>
            <w:noWrap/>
            <w:vAlign w:val="bottom"/>
          </w:tcPr>
          <w:p w14:paraId="1558719C" w14:textId="77777777" w:rsidR="00023CAA" w:rsidRDefault="00023CAA" w:rsidP="00804D18">
            <w:pPr>
              <w:pStyle w:val="TBodynormalNumber"/>
              <w:keepNext/>
            </w:pPr>
          </w:p>
        </w:tc>
        <w:tc>
          <w:tcPr>
            <w:tcW w:w="1021" w:type="dxa"/>
            <w:tcBorders>
              <w:top w:val="single" w:sz="4" w:space="0" w:color="A59C94"/>
              <w:bottom w:val="single" w:sz="4" w:space="0" w:color="991D85"/>
            </w:tcBorders>
            <w:noWrap/>
            <w:vAlign w:val="bottom"/>
          </w:tcPr>
          <w:p w14:paraId="7D0B1DD9" w14:textId="77777777" w:rsidR="00023CAA" w:rsidRDefault="00023CAA" w:rsidP="00804D18">
            <w:pPr>
              <w:pStyle w:val="TBodynormalNumber"/>
              <w:keepNext/>
            </w:pPr>
            <w:r>
              <w:t>-19</w:t>
            </w:r>
          </w:p>
        </w:tc>
      </w:tr>
    </w:tbl>
    <w:p w14:paraId="404A6EAC" w14:textId="77777777" w:rsidR="00023CAA" w:rsidRDefault="00023CAA" w:rsidP="00023CAA">
      <w:pPr>
        <w:autoSpaceDE w:val="0"/>
        <w:autoSpaceDN w:val="0"/>
        <w:adjustRightInd w:val="0"/>
        <w:spacing w:line="220" w:lineRule="exact"/>
        <w:rPr>
          <w:rFonts w:cs="Lucida Sans Unicode"/>
          <w:b/>
          <w:bCs/>
          <w:sz w:val="18"/>
          <w:szCs w:val="18"/>
        </w:rPr>
      </w:pPr>
    </w:p>
    <w:p w14:paraId="0284882B" w14:textId="77777777" w:rsidR="00023CAA" w:rsidRDefault="00023CAA" w:rsidP="00023CAA">
      <w:pPr>
        <w:autoSpaceDE w:val="0"/>
        <w:autoSpaceDN w:val="0"/>
        <w:adjustRightInd w:val="0"/>
        <w:spacing w:line="220" w:lineRule="exact"/>
        <w:rPr>
          <w:rFonts w:cs="Lucida Sans Unicode"/>
          <w:b/>
          <w:bCs/>
          <w:sz w:val="18"/>
          <w:szCs w:val="18"/>
        </w:rPr>
      </w:pPr>
    </w:p>
    <w:tbl>
      <w:tblPr>
        <w:tblW w:w="9752" w:type="dxa"/>
        <w:tblLayout w:type="fixed"/>
        <w:tblCellMar>
          <w:left w:w="0" w:type="dxa"/>
          <w:right w:w="0" w:type="dxa"/>
        </w:tblCellMar>
        <w:tblLook w:val="0000" w:firstRow="0" w:lastRow="0" w:firstColumn="0" w:lastColumn="0" w:noHBand="0" w:noVBand="0"/>
        <w:tblDescription w:val="SNEID_f60b37dfff294a3c8923197eaf87107b"/>
      </w:tblPr>
      <w:tblGrid>
        <w:gridCol w:w="2912"/>
        <w:gridCol w:w="119"/>
        <w:gridCol w:w="1021"/>
        <w:gridCol w:w="119"/>
        <w:gridCol w:w="1021"/>
        <w:gridCol w:w="119"/>
        <w:gridCol w:w="1021"/>
        <w:gridCol w:w="119"/>
        <w:gridCol w:w="1021"/>
        <w:gridCol w:w="119"/>
        <w:gridCol w:w="1021"/>
        <w:gridCol w:w="119"/>
        <w:gridCol w:w="1021"/>
      </w:tblGrid>
      <w:tr w:rsidR="00023CAA" w14:paraId="0FDAADB6" w14:textId="77777777" w:rsidTr="00804D18">
        <w:tc>
          <w:tcPr>
            <w:tcW w:w="9754" w:type="dxa"/>
            <w:gridSpan w:val="13"/>
            <w:noWrap/>
            <w:vAlign w:val="bottom"/>
          </w:tcPr>
          <w:p w14:paraId="31687845" w14:textId="77777777" w:rsidR="00023CAA" w:rsidRPr="00194A96" w:rsidRDefault="00023CAA" w:rsidP="00804D18">
            <w:pPr>
              <w:pStyle w:val="TTitleText"/>
              <w:rPr>
                <w:lang w:val="de-DE"/>
              </w:rPr>
            </w:pPr>
            <w:r w:rsidRPr="00EC5E3A">
              <w:rPr>
                <w:lang w:val="de-DE"/>
              </w:rPr>
              <w:t>Entwicklung in den Segmenten – 1. Halbjahr</w:t>
            </w:r>
          </w:p>
        </w:tc>
      </w:tr>
      <w:tr w:rsidR="00023CAA" w14:paraId="67E9F6D5" w14:textId="77777777" w:rsidTr="00804D18">
        <w:tc>
          <w:tcPr>
            <w:tcW w:w="2914" w:type="dxa"/>
            <w:tcBorders>
              <w:top w:val="single" w:sz="8" w:space="0" w:color="000000"/>
            </w:tcBorders>
            <w:noWrap/>
            <w:vAlign w:val="bottom"/>
          </w:tcPr>
          <w:p w14:paraId="5346E3E7" w14:textId="77777777" w:rsidR="00023CAA" w:rsidRPr="00194A96" w:rsidRDefault="00023CAA" w:rsidP="00804D18">
            <w:pPr>
              <w:pStyle w:val="TDummy"/>
              <w:keepNext/>
              <w:rPr>
                <w:lang w:val="de-DE"/>
              </w:rPr>
            </w:pPr>
          </w:p>
        </w:tc>
        <w:tc>
          <w:tcPr>
            <w:tcW w:w="119" w:type="dxa"/>
            <w:tcBorders>
              <w:top w:val="single" w:sz="8" w:space="0" w:color="000000"/>
            </w:tcBorders>
            <w:noWrap/>
            <w:vAlign w:val="bottom"/>
          </w:tcPr>
          <w:p w14:paraId="61A1E504" w14:textId="77777777" w:rsidR="00023CAA" w:rsidRPr="00194A96" w:rsidRDefault="00023CAA" w:rsidP="00804D18">
            <w:pPr>
              <w:pStyle w:val="TDummy"/>
              <w:keepNext/>
              <w:rPr>
                <w:lang w:val="de-DE"/>
              </w:rPr>
            </w:pPr>
          </w:p>
        </w:tc>
        <w:tc>
          <w:tcPr>
            <w:tcW w:w="1021" w:type="dxa"/>
            <w:tcBorders>
              <w:top w:val="single" w:sz="8" w:space="0" w:color="000000"/>
            </w:tcBorders>
            <w:noWrap/>
            <w:vAlign w:val="bottom"/>
          </w:tcPr>
          <w:p w14:paraId="1ADBAAF7" w14:textId="77777777" w:rsidR="00023CAA" w:rsidRPr="00194A96" w:rsidRDefault="00023CAA" w:rsidP="00804D18">
            <w:pPr>
              <w:pStyle w:val="TDummy"/>
              <w:keepNext/>
              <w:rPr>
                <w:lang w:val="de-DE"/>
              </w:rPr>
            </w:pPr>
          </w:p>
        </w:tc>
        <w:tc>
          <w:tcPr>
            <w:tcW w:w="119" w:type="dxa"/>
            <w:tcBorders>
              <w:top w:val="single" w:sz="8" w:space="0" w:color="000000"/>
            </w:tcBorders>
            <w:noWrap/>
            <w:vAlign w:val="bottom"/>
          </w:tcPr>
          <w:p w14:paraId="783A7768" w14:textId="77777777" w:rsidR="00023CAA" w:rsidRPr="00194A96" w:rsidRDefault="00023CAA" w:rsidP="00804D18">
            <w:pPr>
              <w:pStyle w:val="TDummy"/>
              <w:keepNext/>
              <w:rPr>
                <w:lang w:val="de-DE"/>
              </w:rPr>
            </w:pPr>
          </w:p>
        </w:tc>
        <w:tc>
          <w:tcPr>
            <w:tcW w:w="1021" w:type="dxa"/>
            <w:tcBorders>
              <w:top w:val="single" w:sz="8" w:space="0" w:color="000000"/>
            </w:tcBorders>
            <w:noWrap/>
            <w:vAlign w:val="bottom"/>
          </w:tcPr>
          <w:p w14:paraId="7603BB07" w14:textId="77777777" w:rsidR="00023CAA" w:rsidRPr="00194A96" w:rsidRDefault="00023CAA" w:rsidP="00804D18">
            <w:pPr>
              <w:pStyle w:val="TDummy"/>
              <w:keepNext/>
              <w:rPr>
                <w:lang w:val="de-DE"/>
              </w:rPr>
            </w:pPr>
          </w:p>
        </w:tc>
        <w:tc>
          <w:tcPr>
            <w:tcW w:w="119" w:type="dxa"/>
            <w:tcBorders>
              <w:top w:val="single" w:sz="8" w:space="0" w:color="000000"/>
            </w:tcBorders>
            <w:noWrap/>
            <w:vAlign w:val="bottom"/>
          </w:tcPr>
          <w:p w14:paraId="082AEB44" w14:textId="77777777" w:rsidR="00023CAA" w:rsidRPr="00194A96" w:rsidRDefault="00023CAA" w:rsidP="00804D18">
            <w:pPr>
              <w:pStyle w:val="TDummy"/>
              <w:keepNext/>
              <w:rPr>
                <w:lang w:val="de-DE"/>
              </w:rPr>
            </w:pPr>
          </w:p>
        </w:tc>
        <w:tc>
          <w:tcPr>
            <w:tcW w:w="1021" w:type="dxa"/>
            <w:tcBorders>
              <w:top w:val="single" w:sz="8" w:space="0" w:color="000000"/>
            </w:tcBorders>
            <w:noWrap/>
            <w:vAlign w:val="bottom"/>
          </w:tcPr>
          <w:p w14:paraId="71903C95" w14:textId="77777777" w:rsidR="00023CAA" w:rsidRPr="00194A96" w:rsidRDefault="00023CAA" w:rsidP="00804D18">
            <w:pPr>
              <w:pStyle w:val="TDummy"/>
              <w:keepNext/>
              <w:rPr>
                <w:lang w:val="de-DE"/>
              </w:rPr>
            </w:pPr>
          </w:p>
        </w:tc>
        <w:tc>
          <w:tcPr>
            <w:tcW w:w="119" w:type="dxa"/>
            <w:tcBorders>
              <w:top w:val="single" w:sz="8" w:space="0" w:color="000000"/>
            </w:tcBorders>
            <w:noWrap/>
            <w:vAlign w:val="bottom"/>
          </w:tcPr>
          <w:p w14:paraId="457118C3" w14:textId="77777777" w:rsidR="00023CAA" w:rsidRPr="00194A96" w:rsidRDefault="00023CAA" w:rsidP="00804D18">
            <w:pPr>
              <w:pStyle w:val="TDummy"/>
              <w:keepNext/>
              <w:rPr>
                <w:lang w:val="de-DE"/>
              </w:rPr>
            </w:pPr>
          </w:p>
        </w:tc>
        <w:tc>
          <w:tcPr>
            <w:tcW w:w="1021" w:type="dxa"/>
            <w:tcBorders>
              <w:top w:val="single" w:sz="8" w:space="0" w:color="000000"/>
            </w:tcBorders>
            <w:noWrap/>
            <w:vAlign w:val="bottom"/>
          </w:tcPr>
          <w:p w14:paraId="1ECFDBC4" w14:textId="77777777" w:rsidR="00023CAA" w:rsidRPr="00194A96" w:rsidRDefault="00023CAA" w:rsidP="00804D18">
            <w:pPr>
              <w:pStyle w:val="TDummy"/>
              <w:keepNext/>
              <w:rPr>
                <w:lang w:val="de-DE"/>
              </w:rPr>
            </w:pPr>
          </w:p>
        </w:tc>
        <w:tc>
          <w:tcPr>
            <w:tcW w:w="119" w:type="dxa"/>
            <w:tcBorders>
              <w:top w:val="single" w:sz="8" w:space="0" w:color="000000"/>
            </w:tcBorders>
            <w:noWrap/>
            <w:vAlign w:val="bottom"/>
          </w:tcPr>
          <w:p w14:paraId="272EA966" w14:textId="77777777" w:rsidR="00023CAA" w:rsidRPr="00194A96" w:rsidRDefault="00023CAA" w:rsidP="00804D18">
            <w:pPr>
              <w:pStyle w:val="TDummy"/>
              <w:keepNext/>
              <w:rPr>
                <w:lang w:val="de-DE"/>
              </w:rPr>
            </w:pPr>
          </w:p>
        </w:tc>
        <w:tc>
          <w:tcPr>
            <w:tcW w:w="1021" w:type="dxa"/>
            <w:tcBorders>
              <w:top w:val="single" w:sz="8" w:space="0" w:color="000000"/>
            </w:tcBorders>
            <w:noWrap/>
            <w:vAlign w:val="bottom"/>
          </w:tcPr>
          <w:p w14:paraId="44257490" w14:textId="77777777" w:rsidR="00023CAA" w:rsidRPr="00194A96" w:rsidRDefault="00023CAA" w:rsidP="00804D18">
            <w:pPr>
              <w:pStyle w:val="TDummy"/>
              <w:keepNext/>
              <w:rPr>
                <w:lang w:val="de-DE"/>
              </w:rPr>
            </w:pPr>
          </w:p>
        </w:tc>
        <w:tc>
          <w:tcPr>
            <w:tcW w:w="119" w:type="dxa"/>
            <w:tcBorders>
              <w:top w:val="single" w:sz="8" w:space="0" w:color="000000"/>
            </w:tcBorders>
            <w:noWrap/>
            <w:vAlign w:val="bottom"/>
          </w:tcPr>
          <w:p w14:paraId="6BF58F3A" w14:textId="77777777" w:rsidR="00023CAA" w:rsidRPr="00194A96" w:rsidRDefault="00023CAA" w:rsidP="00804D18">
            <w:pPr>
              <w:pStyle w:val="TDummy"/>
              <w:keepNext/>
              <w:rPr>
                <w:lang w:val="de-DE"/>
              </w:rPr>
            </w:pPr>
          </w:p>
        </w:tc>
        <w:tc>
          <w:tcPr>
            <w:tcW w:w="1021" w:type="dxa"/>
            <w:tcBorders>
              <w:top w:val="single" w:sz="8" w:space="0" w:color="000000"/>
            </w:tcBorders>
            <w:noWrap/>
            <w:vAlign w:val="bottom"/>
          </w:tcPr>
          <w:p w14:paraId="468498E2" w14:textId="77777777" w:rsidR="00023CAA" w:rsidRPr="00194A96" w:rsidRDefault="00023CAA" w:rsidP="00804D18">
            <w:pPr>
              <w:pStyle w:val="TDummy"/>
              <w:keepNext/>
              <w:rPr>
                <w:lang w:val="de-DE"/>
              </w:rPr>
            </w:pPr>
          </w:p>
        </w:tc>
      </w:tr>
      <w:tr w:rsidR="00023CAA" w14:paraId="544954FD" w14:textId="77777777" w:rsidTr="00804D18">
        <w:tc>
          <w:tcPr>
            <w:tcW w:w="2914" w:type="dxa"/>
            <w:shd w:val="clear" w:color="000000" w:fill="FFFFFF"/>
            <w:noWrap/>
            <w:vAlign w:val="bottom"/>
          </w:tcPr>
          <w:p w14:paraId="15AF3654" w14:textId="77777777" w:rsidR="00023CAA" w:rsidRDefault="00023CAA" w:rsidP="00804D18">
            <w:pPr>
              <w:pStyle w:val="THeadfirstNumber"/>
            </w:pPr>
            <w:bookmarkStart w:id="30" w:name="RANGE!B36:N36"/>
            <w:bookmarkStart w:id="31" w:name="RANGE!B36"/>
            <w:bookmarkEnd w:id="30"/>
            <w:bookmarkEnd w:id="31"/>
          </w:p>
        </w:tc>
        <w:tc>
          <w:tcPr>
            <w:tcW w:w="119" w:type="dxa"/>
            <w:noWrap/>
            <w:vAlign w:val="bottom"/>
          </w:tcPr>
          <w:p w14:paraId="7DC3EC09" w14:textId="77777777" w:rsidR="00023CAA" w:rsidRDefault="00023CAA" w:rsidP="00804D18">
            <w:pPr>
              <w:pStyle w:val="THeadfirstNumber"/>
            </w:pPr>
          </w:p>
        </w:tc>
        <w:tc>
          <w:tcPr>
            <w:tcW w:w="3301" w:type="dxa"/>
            <w:gridSpan w:val="5"/>
            <w:tcBorders>
              <w:bottom w:val="single" w:sz="4" w:space="0" w:color="A59C94"/>
            </w:tcBorders>
            <w:shd w:val="clear" w:color="000000" w:fill="FFFFFF"/>
            <w:vAlign w:val="center"/>
          </w:tcPr>
          <w:p w14:paraId="604305F6" w14:textId="77777777" w:rsidR="00023CAA" w:rsidRDefault="00023CAA" w:rsidP="00804D18">
            <w:pPr>
              <w:pStyle w:val="THeadfirstNumber"/>
            </w:pPr>
            <w:r>
              <w:t xml:space="preserve">Umsatz </w:t>
            </w:r>
          </w:p>
        </w:tc>
        <w:tc>
          <w:tcPr>
            <w:tcW w:w="119" w:type="dxa"/>
            <w:vAlign w:val="center"/>
          </w:tcPr>
          <w:p w14:paraId="06488F67" w14:textId="77777777" w:rsidR="00023CAA" w:rsidRDefault="00023CAA" w:rsidP="00804D18">
            <w:pPr>
              <w:pStyle w:val="THeadfirstNumber"/>
            </w:pPr>
          </w:p>
        </w:tc>
        <w:tc>
          <w:tcPr>
            <w:tcW w:w="3301" w:type="dxa"/>
            <w:gridSpan w:val="5"/>
            <w:tcBorders>
              <w:bottom w:val="single" w:sz="4" w:space="0" w:color="A59C94"/>
            </w:tcBorders>
            <w:shd w:val="clear" w:color="000000" w:fill="FFFFFF"/>
            <w:vAlign w:val="center"/>
          </w:tcPr>
          <w:p w14:paraId="28B21E83" w14:textId="77777777" w:rsidR="00023CAA" w:rsidRDefault="00023CAA" w:rsidP="00804D18">
            <w:pPr>
              <w:pStyle w:val="THeadfirstNumber"/>
            </w:pPr>
            <w:r>
              <w:t xml:space="preserve">Bereinigtes EBITDA </w:t>
            </w:r>
          </w:p>
        </w:tc>
      </w:tr>
      <w:tr w:rsidR="00023CAA" w14:paraId="05FDD0E4" w14:textId="77777777" w:rsidTr="00804D18">
        <w:tc>
          <w:tcPr>
            <w:tcW w:w="2914" w:type="dxa"/>
            <w:tcBorders>
              <w:bottom w:val="single" w:sz="4" w:space="0" w:color="A59C94"/>
            </w:tcBorders>
            <w:shd w:val="clear" w:color="000000" w:fill="FFFFFF"/>
            <w:noWrap/>
            <w:vAlign w:val="bottom"/>
          </w:tcPr>
          <w:p w14:paraId="1C4E601A" w14:textId="77777777" w:rsidR="00023CAA" w:rsidRDefault="00023CAA" w:rsidP="00804D18">
            <w:pPr>
              <w:pStyle w:val="THeadlastText"/>
            </w:pPr>
            <w:bookmarkStart w:id="32" w:name="RANGE!B37:N37"/>
            <w:bookmarkEnd w:id="32"/>
            <w:r>
              <w:t>in Millionen €</w:t>
            </w:r>
          </w:p>
        </w:tc>
        <w:tc>
          <w:tcPr>
            <w:tcW w:w="119" w:type="dxa"/>
            <w:noWrap/>
            <w:vAlign w:val="bottom"/>
          </w:tcPr>
          <w:p w14:paraId="05C99865"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21E81117" w14:textId="77777777" w:rsidR="00023CAA" w:rsidRDefault="00023CAA" w:rsidP="00804D18">
            <w:pPr>
              <w:pStyle w:val="THeadlastNumber"/>
            </w:pPr>
            <w:r>
              <w:t>2019</w:t>
            </w:r>
          </w:p>
        </w:tc>
        <w:tc>
          <w:tcPr>
            <w:tcW w:w="119" w:type="dxa"/>
            <w:vAlign w:val="center"/>
          </w:tcPr>
          <w:p w14:paraId="5EE4743F"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7D4C8D5E" w14:textId="77777777" w:rsidR="00023CAA" w:rsidRDefault="00023CAA" w:rsidP="00804D18">
            <w:pPr>
              <w:pStyle w:val="THeadlastNumberbold"/>
            </w:pPr>
            <w:bookmarkStart w:id="33" w:name="RANGE!F37:F43"/>
            <w:bookmarkEnd w:id="33"/>
            <w:r>
              <w:t>2020</w:t>
            </w:r>
          </w:p>
        </w:tc>
        <w:tc>
          <w:tcPr>
            <w:tcW w:w="119" w:type="dxa"/>
            <w:vAlign w:val="center"/>
          </w:tcPr>
          <w:p w14:paraId="7CD85258"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11DBFC46" w14:textId="77777777" w:rsidR="00023CAA" w:rsidRDefault="00023CAA" w:rsidP="00804D18">
            <w:pPr>
              <w:pStyle w:val="THeaddifferenceNumber"/>
              <w:keepNext/>
            </w:pPr>
            <w:bookmarkStart w:id="34" w:name="RANGE!H37:H43"/>
            <w:bookmarkEnd w:id="34"/>
            <w:r>
              <w:t>Veränd. in %</w:t>
            </w:r>
          </w:p>
        </w:tc>
        <w:tc>
          <w:tcPr>
            <w:tcW w:w="119" w:type="dxa"/>
            <w:vAlign w:val="center"/>
          </w:tcPr>
          <w:p w14:paraId="3F69B81C"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55C8EA3B" w14:textId="77777777" w:rsidR="00023CAA" w:rsidRDefault="00023CAA" w:rsidP="00804D18">
            <w:pPr>
              <w:pStyle w:val="THeadlastNumber"/>
            </w:pPr>
            <w:r>
              <w:t>2019</w:t>
            </w:r>
          </w:p>
        </w:tc>
        <w:tc>
          <w:tcPr>
            <w:tcW w:w="119" w:type="dxa"/>
            <w:vAlign w:val="center"/>
          </w:tcPr>
          <w:p w14:paraId="17CEAE08"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vAlign w:val="center"/>
          </w:tcPr>
          <w:p w14:paraId="6EF71F27" w14:textId="77777777" w:rsidR="00023CAA" w:rsidRDefault="00023CAA" w:rsidP="00804D18">
            <w:pPr>
              <w:pStyle w:val="THeadlastNumberbold"/>
            </w:pPr>
            <w:bookmarkStart w:id="35" w:name="RANGE!L37:L43"/>
            <w:bookmarkEnd w:id="35"/>
            <w:r>
              <w:t>2020</w:t>
            </w:r>
          </w:p>
        </w:tc>
        <w:tc>
          <w:tcPr>
            <w:tcW w:w="119" w:type="dxa"/>
            <w:tcBorders>
              <w:top w:val="single" w:sz="4" w:space="0" w:color="A59C94"/>
            </w:tcBorders>
            <w:vAlign w:val="center"/>
          </w:tcPr>
          <w:p w14:paraId="1973087E" w14:textId="77777777" w:rsidR="00023CAA" w:rsidRDefault="00023CAA" w:rsidP="00804D18">
            <w:pPr>
              <w:pStyle w:val="TBodynormalNumber"/>
              <w:keepNext/>
            </w:pPr>
          </w:p>
        </w:tc>
        <w:tc>
          <w:tcPr>
            <w:tcW w:w="1021" w:type="dxa"/>
            <w:tcBorders>
              <w:top w:val="single" w:sz="4" w:space="0" w:color="A59C94"/>
              <w:bottom w:val="single" w:sz="4" w:space="0" w:color="A59C94"/>
              <w:right w:val="single" w:sz="4" w:space="0" w:color="FFFFFF"/>
            </w:tcBorders>
            <w:shd w:val="clear" w:color="000000" w:fill="FFFFFF"/>
            <w:vAlign w:val="center"/>
          </w:tcPr>
          <w:p w14:paraId="6D197DD9" w14:textId="77777777" w:rsidR="00023CAA" w:rsidRDefault="00023CAA" w:rsidP="00804D18">
            <w:pPr>
              <w:pStyle w:val="TBodynormalNumber"/>
              <w:keepNext/>
            </w:pPr>
            <w:bookmarkStart w:id="36" w:name="RANGE!N37:N43"/>
            <w:bookmarkEnd w:id="36"/>
            <w:r>
              <w:t>Veränd. in %</w:t>
            </w:r>
          </w:p>
        </w:tc>
      </w:tr>
      <w:tr w:rsidR="00023CAA" w14:paraId="6823D5D4" w14:textId="77777777" w:rsidTr="00804D18">
        <w:tc>
          <w:tcPr>
            <w:tcW w:w="2914" w:type="dxa"/>
            <w:tcBorders>
              <w:top w:val="single" w:sz="4" w:space="0" w:color="A59C94"/>
              <w:bottom w:val="single" w:sz="4" w:space="0" w:color="A59C94"/>
            </w:tcBorders>
            <w:noWrap/>
            <w:vAlign w:val="bottom"/>
          </w:tcPr>
          <w:p w14:paraId="75437365" w14:textId="77777777" w:rsidR="00023CAA" w:rsidRDefault="00023CAA" w:rsidP="00804D18">
            <w:pPr>
              <w:pStyle w:val="TBodynormalText"/>
            </w:pPr>
            <w:r>
              <w:t>Nutrition &amp; Care</w:t>
            </w:r>
          </w:p>
        </w:tc>
        <w:tc>
          <w:tcPr>
            <w:tcW w:w="119" w:type="dxa"/>
            <w:noWrap/>
            <w:vAlign w:val="bottom"/>
          </w:tcPr>
          <w:p w14:paraId="37AEEF37"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D1BDED5" w14:textId="77777777" w:rsidR="00023CAA" w:rsidRDefault="00023CAA" w:rsidP="00804D18">
            <w:pPr>
              <w:pStyle w:val="TBodynormalNumber"/>
              <w:keepNext/>
            </w:pPr>
            <w:r>
              <w:t>2.280</w:t>
            </w:r>
          </w:p>
        </w:tc>
        <w:tc>
          <w:tcPr>
            <w:tcW w:w="119" w:type="dxa"/>
            <w:noWrap/>
            <w:vAlign w:val="bottom"/>
          </w:tcPr>
          <w:p w14:paraId="414060A7"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DC8C740" w14:textId="77777777" w:rsidR="00023CAA" w:rsidRDefault="00023CAA" w:rsidP="00804D18">
            <w:pPr>
              <w:pStyle w:val="TBodynormalNumber"/>
              <w:keepNext/>
            </w:pPr>
            <w:r>
              <w:t>2.219</w:t>
            </w:r>
          </w:p>
        </w:tc>
        <w:tc>
          <w:tcPr>
            <w:tcW w:w="119" w:type="dxa"/>
            <w:noWrap/>
            <w:vAlign w:val="bottom"/>
          </w:tcPr>
          <w:p w14:paraId="7A90C141"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E52E71B" w14:textId="77777777" w:rsidR="00023CAA" w:rsidRDefault="00023CAA" w:rsidP="00804D18">
            <w:pPr>
              <w:pStyle w:val="TBodynormalNumber"/>
              <w:keepNext/>
            </w:pPr>
            <w:r>
              <w:t>-3</w:t>
            </w:r>
          </w:p>
        </w:tc>
        <w:tc>
          <w:tcPr>
            <w:tcW w:w="119" w:type="dxa"/>
            <w:noWrap/>
            <w:vAlign w:val="bottom"/>
          </w:tcPr>
          <w:p w14:paraId="6D78C076"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C7C5DE9" w14:textId="77777777" w:rsidR="00023CAA" w:rsidRDefault="00023CAA" w:rsidP="00804D18">
            <w:pPr>
              <w:pStyle w:val="TBodynormalNumber"/>
              <w:keepNext/>
            </w:pPr>
            <w:r>
              <w:t>370</w:t>
            </w:r>
          </w:p>
        </w:tc>
        <w:tc>
          <w:tcPr>
            <w:tcW w:w="119" w:type="dxa"/>
            <w:noWrap/>
            <w:vAlign w:val="bottom"/>
          </w:tcPr>
          <w:p w14:paraId="5A2B94FA"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4FF12C9" w14:textId="77777777" w:rsidR="00023CAA" w:rsidRDefault="00023CAA" w:rsidP="00804D18">
            <w:pPr>
              <w:pStyle w:val="TBodynormalNumber"/>
              <w:keepNext/>
            </w:pPr>
            <w:r>
              <w:t>391</w:t>
            </w:r>
          </w:p>
        </w:tc>
        <w:tc>
          <w:tcPr>
            <w:tcW w:w="119" w:type="dxa"/>
            <w:noWrap/>
            <w:vAlign w:val="bottom"/>
          </w:tcPr>
          <w:p w14:paraId="58808C4C" w14:textId="77777777" w:rsidR="00023CAA" w:rsidRDefault="00023CAA" w:rsidP="00804D18">
            <w:pPr>
              <w:pStyle w:val="THeadfirstNumber"/>
            </w:pPr>
          </w:p>
        </w:tc>
        <w:tc>
          <w:tcPr>
            <w:tcW w:w="1021" w:type="dxa"/>
            <w:tcBorders>
              <w:top w:val="single" w:sz="4" w:space="0" w:color="A59C94"/>
              <w:bottom w:val="single" w:sz="4" w:space="0" w:color="A59C94"/>
              <w:right w:val="single" w:sz="4" w:space="0" w:color="FFFFFF"/>
            </w:tcBorders>
            <w:shd w:val="clear" w:color="000000" w:fill="FFFFFF"/>
            <w:noWrap/>
            <w:vAlign w:val="bottom"/>
          </w:tcPr>
          <w:p w14:paraId="5693334C" w14:textId="77777777" w:rsidR="00023CAA" w:rsidRDefault="00023CAA" w:rsidP="00804D18">
            <w:pPr>
              <w:pStyle w:val="THeaddifferenceNumber"/>
              <w:keepNext/>
            </w:pPr>
            <w:r>
              <w:t>6</w:t>
            </w:r>
          </w:p>
        </w:tc>
      </w:tr>
      <w:tr w:rsidR="00023CAA" w14:paraId="406547E3" w14:textId="77777777" w:rsidTr="00804D18">
        <w:tc>
          <w:tcPr>
            <w:tcW w:w="2914" w:type="dxa"/>
            <w:tcBorders>
              <w:top w:val="single" w:sz="4" w:space="0" w:color="A59C94"/>
              <w:bottom w:val="single" w:sz="4" w:space="0" w:color="A59C94"/>
            </w:tcBorders>
            <w:noWrap/>
            <w:vAlign w:val="bottom"/>
          </w:tcPr>
          <w:p w14:paraId="41CF2372" w14:textId="77777777" w:rsidR="00023CAA" w:rsidRDefault="00023CAA" w:rsidP="00804D18">
            <w:pPr>
              <w:pStyle w:val="TBodynormalText"/>
            </w:pPr>
            <w:r>
              <w:t>Resource Efficiency</w:t>
            </w:r>
          </w:p>
        </w:tc>
        <w:tc>
          <w:tcPr>
            <w:tcW w:w="119" w:type="dxa"/>
            <w:noWrap/>
            <w:vAlign w:val="bottom"/>
          </w:tcPr>
          <w:p w14:paraId="428FA8CD"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C4B98E4" w14:textId="77777777" w:rsidR="00023CAA" w:rsidRDefault="00023CAA" w:rsidP="00804D18">
            <w:pPr>
              <w:pStyle w:val="TBodynormalNumber"/>
              <w:keepNext/>
            </w:pPr>
            <w:r>
              <w:t>2.883</w:t>
            </w:r>
          </w:p>
        </w:tc>
        <w:tc>
          <w:tcPr>
            <w:tcW w:w="119" w:type="dxa"/>
            <w:noWrap/>
            <w:vAlign w:val="bottom"/>
          </w:tcPr>
          <w:p w14:paraId="1B352332"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093E9C3" w14:textId="77777777" w:rsidR="00023CAA" w:rsidRDefault="00023CAA" w:rsidP="00804D18">
            <w:pPr>
              <w:pStyle w:val="TBodynormalNumber"/>
              <w:keepNext/>
            </w:pPr>
            <w:r>
              <w:t>2.681</w:t>
            </w:r>
          </w:p>
        </w:tc>
        <w:tc>
          <w:tcPr>
            <w:tcW w:w="119" w:type="dxa"/>
            <w:noWrap/>
            <w:vAlign w:val="bottom"/>
          </w:tcPr>
          <w:p w14:paraId="257BCB5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9337E01" w14:textId="77777777" w:rsidR="00023CAA" w:rsidRDefault="00023CAA" w:rsidP="00804D18">
            <w:pPr>
              <w:pStyle w:val="TBodynormalNumber"/>
              <w:keepNext/>
            </w:pPr>
            <w:r>
              <w:t>-7</w:t>
            </w:r>
          </w:p>
        </w:tc>
        <w:tc>
          <w:tcPr>
            <w:tcW w:w="119" w:type="dxa"/>
            <w:noWrap/>
            <w:vAlign w:val="bottom"/>
          </w:tcPr>
          <w:p w14:paraId="677599D8"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59BD720" w14:textId="77777777" w:rsidR="00023CAA" w:rsidRDefault="00023CAA" w:rsidP="00804D18">
            <w:pPr>
              <w:pStyle w:val="TBodynormalNumber"/>
              <w:keepNext/>
            </w:pPr>
            <w:r>
              <w:t>655</w:t>
            </w:r>
          </w:p>
        </w:tc>
        <w:tc>
          <w:tcPr>
            <w:tcW w:w="119" w:type="dxa"/>
            <w:noWrap/>
            <w:vAlign w:val="bottom"/>
          </w:tcPr>
          <w:p w14:paraId="6698B06D"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AB54295" w14:textId="77777777" w:rsidR="00023CAA" w:rsidRDefault="00023CAA" w:rsidP="00804D18">
            <w:pPr>
              <w:pStyle w:val="TBodynormalNumber"/>
              <w:keepNext/>
            </w:pPr>
            <w:r>
              <w:t>599</w:t>
            </w:r>
          </w:p>
        </w:tc>
        <w:tc>
          <w:tcPr>
            <w:tcW w:w="119" w:type="dxa"/>
            <w:noWrap/>
            <w:vAlign w:val="bottom"/>
          </w:tcPr>
          <w:p w14:paraId="66C800B4" w14:textId="77777777" w:rsidR="00023CAA" w:rsidRDefault="00023CAA" w:rsidP="00804D18">
            <w:pPr>
              <w:pStyle w:val="THeadlastNumber"/>
            </w:pPr>
          </w:p>
        </w:tc>
        <w:tc>
          <w:tcPr>
            <w:tcW w:w="1021" w:type="dxa"/>
            <w:tcBorders>
              <w:top w:val="single" w:sz="4" w:space="0" w:color="A59C94"/>
              <w:bottom w:val="single" w:sz="4" w:space="0" w:color="A59C94"/>
            </w:tcBorders>
            <w:shd w:val="clear" w:color="000000" w:fill="FFFFFF"/>
            <w:noWrap/>
            <w:vAlign w:val="bottom"/>
          </w:tcPr>
          <w:p w14:paraId="21CFEA89" w14:textId="77777777" w:rsidR="00023CAA" w:rsidRDefault="00023CAA" w:rsidP="00804D18">
            <w:pPr>
              <w:pStyle w:val="THeaddifferenceNumber"/>
              <w:keepNext/>
            </w:pPr>
            <w:r>
              <w:t>-9</w:t>
            </w:r>
          </w:p>
        </w:tc>
      </w:tr>
      <w:tr w:rsidR="00023CAA" w14:paraId="5DBB03A2" w14:textId="77777777" w:rsidTr="00804D18">
        <w:tc>
          <w:tcPr>
            <w:tcW w:w="2914" w:type="dxa"/>
            <w:tcBorders>
              <w:top w:val="single" w:sz="4" w:space="0" w:color="A59C94"/>
              <w:bottom w:val="single" w:sz="4" w:space="0" w:color="A59C94"/>
            </w:tcBorders>
            <w:noWrap/>
            <w:vAlign w:val="bottom"/>
          </w:tcPr>
          <w:p w14:paraId="08839933" w14:textId="77777777" w:rsidR="00023CAA" w:rsidRDefault="00023CAA" w:rsidP="00804D18">
            <w:pPr>
              <w:pStyle w:val="TBodynormalText"/>
            </w:pPr>
            <w:r>
              <w:t>Performance Materials</w:t>
            </w:r>
          </w:p>
        </w:tc>
        <w:tc>
          <w:tcPr>
            <w:tcW w:w="119" w:type="dxa"/>
            <w:noWrap/>
            <w:vAlign w:val="bottom"/>
          </w:tcPr>
          <w:p w14:paraId="3B98E2D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342229F" w14:textId="77777777" w:rsidR="00023CAA" w:rsidRDefault="00023CAA" w:rsidP="00804D18">
            <w:pPr>
              <w:pStyle w:val="TBodynormalNumber"/>
              <w:keepNext/>
            </w:pPr>
            <w:r>
              <w:t>1.073</w:t>
            </w:r>
          </w:p>
        </w:tc>
        <w:tc>
          <w:tcPr>
            <w:tcW w:w="119" w:type="dxa"/>
            <w:noWrap/>
            <w:vAlign w:val="bottom"/>
          </w:tcPr>
          <w:p w14:paraId="4B371E87"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C9B091F" w14:textId="77777777" w:rsidR="00023CAA" w:rsidRDefault="00023CAA" w:rsidP="00804D18">
            <w:pPr>
              <w:pStyle w:val="TBodynormalNumber"/>
              <w:keepNext/>
            </w:pPr>
            <w:r>
              <w:t>791</w:t>
            </w:r>
          </w:p>
        </w:tc>
        <w:tc>
          <w:tcPr>
            <w:tcW w:w="119" w:type="dxa"/>
            <w:noWrap/>
            <w:vAlign w:val="bottom"/>
          </w:tcPr>
          <w:p w14:paraId="02B9A93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79CF98C" w14:textId="77777777" w:rsidR="00023CAA" w:rsidRDefault="00023CAA" w:rsidP="00804D18">
            <w:pPr>
              <w:pStyle w:val="TBodynormalNumber"/>
              <w:keepNext/>
            </w:pPr>
            <w:r>
              <w:t>-26</w:t>
            </w:r>
          </w:p>
        </w:tc>
        <w:tc>
          <w:tcPr>
            <w:tcW w:w="119" w:type="dxa"/>
            <w:noWrap/>
            <w:vAlign w:val="bottom"/>
          </w:tcPr>
          <w:p w14:paraId="4C1E388B"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E6BFE51" w14:textId="77777777" w:rsidR="00023CAA" w:rsidRDefault="00023CAA" w:rsidP="00804D18">
            <w:pPr>
              <w:pStyle w:val="TBodynormalNumber"/>
              <w:keepNext/>
            </w:pPr>
            <w:r>
              <w:t>128</w:t>
            </w:r>
          </w:p>
        </w:tc>
        <w:tc>
          <w:tcPr>
            <w:tcW w:w="119" w:type="dxa"/>
            <w:noWrap/>
            <w:vAlign w:val="bottom"/>
          </w:tcPr>
          <w:p w14:paraId="500850C0"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A0EC218" w14:textId="77777777" w:rsidR="00023CAA" w:rsidRDefault="00023CAA" w:rsidP="00804D18">
            <w:pPr>
              <w:pStyle w:val="TBodynormalNumber"/>
              <w:keepNext/>
            </w:pPr>
            <w:r>
              <w:t>35</w:t>
            </w:r>
          </w:p>
        </w:tc>
        <w:tc>
          <w:tcPr>
            <w:tcW w:w="119" w:type="dxa"/>
            <w:noWrap/>
            <w:vAlign w:val="bottom"/>
          </w:tcPr>
          <w:p w14:paraId="5339059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D98106D" w14:textId="77777777" w:rsidR="00023CAA" w:rsidRDefault="00023CAA" w:rsidP="00804D18">
            <w:pPr>
              <w:pStyle w:val="TBodynormalNumber"/>
              <w:keepNext/>
            </w:pPr>
            <w:r>
              <w:t>-73</w:t>
            </w:r>
          </w:p>
        </w:tc>
      </w:tr>
      <w:tr w:rsidR="00023CAA" w14:paraId="4314675E" w14:textId="77777777" w:rsidTr="00804D18">
        <w:tc>
          <w:tcPr>
            <w:tcW w:w="2914" w:type="dxa"/>
            <w:tcBorders>
              <w:top w:val="single" w:sz="4" w:space="0" w:color="A59C94"/>
              <w:bottom w:val="single" w:sz="4" w:space="0" w:color="A59C94"/>
            </w:tcBorders>
            <w:noWrap/>
            <w:vAlign w:val="bottom"/>
          </w:tcPr>
          <w:p w14:paraId="6A87361D" w14:textId="77777777" w:rsidR="00023CAA" w:rsidRDefault="00023CAA" w:rsidP="00804D18">
            <w:pPr>
              <w:pStyle w:val="TBodynormalText"/>
            </w:pPr>
            <w:r>
              <w:t>Services</w:t>
            </w:r>
          </w:p>
        </w:tc>
        <w:tc>
          <w:tcPr>
            <w:tcW w:w="119" w:type="dxa"/>
            <w:noWrap/>
            <w:vAlign w:val="bottom"/>
          </w:tcPr>
          <w:p w14:paraId="6033F5B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44654425" w14:textId="77777777" w:rsidR="00023CAA" w:rsidRDefault="00023CAA" w:rsidP="00804D18">
            <w:pPr>
              <w:pStyle w:val="TBodynormalNumber"/>
              <w:keepNext/>
            </w:pPr>
            <w:r>
              <w:t>345</w:t>
            </w:r>
          </w:p>
        </w:tc>
        <w:tc>
          <w:tcPr>
            <w:tcW w:w="119" w:type="dxa"/>
            <w:noWrap/>
            <w:vAlign w:val="bottom"/>
          </w:tcPr>
          <w:p w14:paraId="7BF405C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B8F5274" w14:textId="77777777" w:rsidR="00023CAA" w:rsidRDefault="00023CAA" w:rsidP="00804D18">
            <w:pPr>
              <w:pStyle w:val="TBodynormalNumber"/>
              <w:keepNext/>
            </w:pPr>
            <w:r>
              <w:t>362</w:t>
            </w:r>
          </w:p>
        </w:tc>
        <w:tc>
          <w:tcPr>
            <w:tcW w:w="119" w:type="dxa"/>
            <w:noWrap/>
            <w:vAlign w:val="bottom"/>
          </w:tcPr>
          <w:p w14:paraId="245B02FC"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28E4507" w14:textId="77777777" w:rsidR="00023CAA" w:rsidRDefault="00023CAA" w:rsidP="00804D18">
            <w:pPr>
              <w:pStyle w:val="TBodynormalNumber"/>
              <w:keepNext/>
            </w:pPr>
            <w:r>
              <w:t>5</w:t>
            </w:r>
          </w:p>
        </w:tc>
        <w:tc>
          <w:tcPr>
            <w:tcW w:w="119" w:type="dxa"/>
            <w:noWrap/>
            <w:vAlign w:val="bottom"/>
          </w:tcPr>
          <w:p w14:paraId="36FB0253"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694E964" w14:textId="77777777" w:rsidR="00023CAA" w:rsidRDefault="00023CAA" w:rsidP="00804D18">
            <w:pPr>
              <w:pStyle w:val="TBodynormalNumber"/>
              <w:keepNext/>
            </w:pPr>
            <w:r>
              <w:t>67</w:t>
            </w:r>
          </w:p>
        </w:tc>
        <w:tc>
          <w:tcPr>
            <w:tcW w:w="119" w:type="dxa"/>
            <w:noWrap/>
            <w:vAlign w:val="bottom"/>
          </w:tcPr>
          <w:p w14:paraId="29CA86D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9A45E1E" w14:textId="77777777" w:rsidR="00023CAA" w:rsidRDefault="00023CAA" w:rsidP="00804D18">
            <w:pPr>
              <w:pStyle w:val="TBodynormalNumber"/>
              <w:keepNext/>
            </w:pPr>
            <w:r>
              <w:t>66</w:t>
            </w:r>
          </w:p>
        </w:tc>
        <w:tc>
          <w:tcPr>
            <w:tcW w:w="119" w:type="dxa"/>
            <w:noWrap/>
            <w:vAlign w:val="bottom"/>
          </w:tcPr>
          <w:p w14:paraId="11BB879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624D1B12" w14:textId="77777777" w:rsidR="00023CAA" w:rsidRDefault="00023CAA" w:rsidP="00804D18">
            <w:pPr>
              <w:pStyle w:val="TBodynormalNumber"/>
              <w:keepNext/>
            </w:pPr>
            <w:r>
              <w:t>-1</w:t>
            </w:r>
          </w:p>
        </w:tc>
      </w:tr>
      <w:tr w:rsidR="00023CAA" w14:paraId="3B2E16BD" w14:textId="77777777" w:rsidTr="00804D18">
        <w:tc>
          <w:tcPr>
            <w:tcW w:w="2914" w:type="dxa"/>
            <w:tcBorders>
              <w:top w:val="single" w:sz="4" w:space="0" w:color="A59C94"/>
              <w:bottom w:val="single" w:sz="4" w:space="0" w:color="A59C94"/>
            </w:tcBorders>
            <w:noWrap/>
            <w:vAlign w:val="bottom"/>
          </w:tcPr>
          <w:p w14:paraId="00CE5539" w14:textId="77777777" w:rsidR="00023CAA" w:rsidRDefault="00023CAA" w:rsidP="00804D18">
            <w:pPr>
              <w:pStyle w:val="TBodynormalText"/>
            </w:pPr>
            <w:r>
              <w:t>Sonstige Aktivitäten</w:t>
            </w:r>
          </w:p>
        </w:tc>
        <w:tc>
          <w:tcPr>
            <w:tcW w:w="119" w:type="dxa"/>
            <w:noWrap/>
            <w:vAlign w:val="bottom"/>
          </w:tcPr>
          <w:p w14:paraId="06A8178B"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99BECEF" w14:textId="77777777" w:rsidR="00023CAA" w:rsidRDefault="00023CAA" w:rsidP="00804D18">
            <w:pPr>
              <w:pStyle w:val="TBodynormalNumber"/>
              <w:keepNext/>
            </w:pPr>
            <w:r>
              <w:t>11</w:t>
            </w:r>
          </w:p>
        </w:tc>
        <w:tc>
          <w:tcPr>
            <w:tcW w:w="119" w:type="dxa"/>
            <w:noWrap/>
            <w:vAlign w:val="bottom"/>
          </w:tcPr>
          <w:p w14:paraId="6DDD966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8E0A917" w14:textId="77777777" w:rsidR="00023CAA" w:rsidRDefault="00023CAA" w:rsidP="00804D18">
            <w:pPr>
              <w:pStyle w:val="TBodynormalNumber"/>
              <w:keepNext/>
            </w:pPr>
            <w:r>
              <w:t>16</w:t>
            </w:r>
          </w:p>
        </w:tc>
        <w:tc>
          <w:tcPr>
            <w:tcW w:w="119" w:type="dxa"/>
            <w:noWrap/>
            <w:vAlign w:val="bottom"/>
          </w:tcPr>
          <w:p w14:paraId="0DC3BAF0"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28E74C06" w14:textId="77777777" w:rsidR="00023CAA" w:rsidRDefault="00023CAA" w:rsidP="00804D18">
            <w:pPr>
              <w:pStyle w:val="TBodynormalNumber"/>
              <w:keepNext/>
            </w:pPr>
            <w:r>
              <w:t>45</w:t>
            </w:r>
          </w:p>
        </w:tc>
        <w:tc>
          <w:tcPr>
            <w:tcW w:w="119" w:type="dxa"/>
            <w:noWrap/>
            <w:vAlign w:val="bottom"/>
          </w:tcPr>
          <w:p w14:paraId="4C5C5CEB"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0E657BF1" w14:textId="77777777" w:rsidR="00023CAA" w:rsidRDefault="00023CAA" w:rsidP="00804D18">
            <w:pPr>
              <w:pStyle w:val="TBodynormalNumber"/>
              <w:keepNext/>
            </w:pPr>
            <w:r>
              <w:t>-115</w:t>
            </w:r>
          </w:p>
        </w:tc>
        <w:tc>
          <w:tcPr>
            <w:tcW w:w="119" w:type="dxa"/>
            <w:noWrap/>
            <w:vAlign w:val="bottom"/>
          </w:tcPr>
          <w:p w14:paraId="6650747C"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791B222" w14:textId="77777777" w:rsidR="00023CAA" w:rsidRDefault="00023CAA" w:rsidP="00804D18">
            <w:pPr>
              <w:pStyle w:val="TBodynormalNumber"/>
              <w:keepNext/>
            </w:pPr>
            <w:r>
              <w:t>-121</w:t>
            </w:r>
          </w:p>
        </w:tc>
        <w:tc>
          <w:tcPr>
            <w:tcW w:w="119" w:type="dxa"/>
            <w:noWrap/>
            <w:vAlign w:val="bottom"/>
          </w:tcPr>
          <w:p w14:paraId="6B6B8A35"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7A1F483" w14:textId="77777777" w:rsidR="00023CAA" w:rsidRDefault="00023CAA" w:rsidP="00804D18">
            <w:pPr>
              <w:pStyle w:val="TBodynormalNumber"/>
              <w:keepNext/>
            </w:pPr>
            <w:r>
              <w:t>-5</w:t>
            </w:r>
          </w:p>
        </w:tc>
      </w:tr>
      <w:tr w:rsidR="00023CAA" w14:paraId="76856C9B" w14:textId="77777777" w:rsidTr="00804D18">
        <w:tc>
          <w:tcPr>
            <w:tcW w:w="2914" w:type="dxa"/>
            <w:tcBorders>
              <w:top w:val="single" w:sz="4" w:space="0" w:color="A59C94"/>
              <w:bottom w:val="single" w:sz="8" w:space="0" w:color="991D85"/>
            </w:tcBorders>
            <w:noWrap/>
            <w:vAlign w:val="bottom"/>
          </w:tcPr>
          <w:p w14:paraId="722B1FA2" w14:textId="77777777" w:rsidR="00023CAA" w:rsidRDefault="00023CAA" w:rsidP="00804D18">
            <w:pPr>
              <w:pStyle w:val="TBodytotalText"/>
            </w:pPr>
            <w:bookmarkStart w:id="37" w:name="RANGE!B43:N43"/>
            <w:bookmarkEnd w:id="37"/>
            <w:r>
              <w:t>Konzern</w:t>
            </w:r>
          </w:p>
        </w:tc>
        <w:tc>
          <w:tcPr>
            <w:tcW w:w="119" w:type="dxa"/>
            <w:tcBorders>
              <w:bottom w:val="single" w:sz="8" w:space="0" w:color="991D85"/>
            </w:tcBorders>
            <w:noWrap/>
            <w:vAlign w:val="bottom"/>
          </w:tcPr>
          <w:p w14:paraId="7B6974EC"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17B7714E" w14:textId="77777777" w:rsidR="00023CAA" w:rsidRDefault="00023CAA" w:rsidP="00804D18">
            <w:pPr>
              <w:pStyle w:val="TBodytotalNumber"/>
            </w:pPr>
            <w:r>
              <w:t>6.592</w:t>
            </w:r>
          </w:p>
        </w:tc>
        <w:tc>
          <w:tcPr>
            <w:tcW w:w="119" w:type="dxa"/>
            <w:tcBorders>
              <w:bottom w:val="single" w:sz="8" w:space="0" w:color="991D85"/>
            </w:tcBorders>
            <w:noWrap/>
            <w:vAlign w:val="bottom"/>
          </w:tcPr>
          <w:p w14:paraId="738282A4"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70DACE74" w14:textId="77777777" w:rsidR="00023CAA" w:rsidRDefault="00023CAA" w:rsidP="00804D18">
            <w:pPr>
              <w:pStyle w:val="TBodytotalNumber"/>
            </w:pPr>
            <w:r>
              <w:t>6.069</w:t>
            </w:r>
          </w:p>
        </w:tc>
        <w:tc>
          <w:tcPr>
            <w:tcW w:w="119" w:type="dxa"/>
            <w:tcBorders>
              <w:bottom w:val="single" w:sz="8" w:space="0" w:color="991D85"/>
            </w:tcBorders>
            <w:noWrap/>
            <w:vAlign w:val="bottom"/>
          </w:tcPr>
          <w:p w14:paraId="152F222B"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4C3E7FFF" w14:textId="77777777" w:rsidR="00023CAA" w:rsidRDefault="00023CAA" w:rsidP="00804D18">
            <w:pPr>
              <w:pStyle w:val="TBodytotalNumber"/>
            </w:pPr>
            <w:r>
              <w:t>-8</w:t>
            </w:r>
          </w:p>
        </w:tc>
        <w:tc>
          <w:tcPr>
            <w:tcW w:w="119" w:type="dxa"/>
            <w:tcBorders>
              <w:bottom w:val="single" w:sz="8" w:space="0" w:color="991D85"/>
            </w:tcBorders>
            <w:noWrap/>
            <w:vAlign w:val="bottom"/>
          </w:tcPr>
          <w:p w14:paraId="14C13234"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52AFC331" w14:textId="77777777" w:rsidR="00023CAA" w:rsidRDefault="00023CAA" w:rsidP="00804D18">
            <w:pPr>
              <w:pStyle w:val="TBodytotalNumber"/>
            </w:pPr>
            <w:r>
              <w:t>1.105</w:t>
            </w:r>
          </w:p>
        </w:tc>
        <w:tc>
          <w:tcPr>
            <w:tcW w:w="119" w:type="dxa"/>
            <w:tcBorders>
              <w:bottom w:val="single" w:sz="8" w:space="0" w:color="991D85"/>
            </w:tcBorders>
            <w:noWrap/>
            <w:vAlign w:val="bottom"/>
          </w:tcPr>
          <w:p w14:paraId="3BE00186"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1BA7398A" w14:textId="77777777" w:rsidR="00023CAA" w:rsidRDefault="00023CAA" w:rsidP="00804D18">
            <w:pPr>
              <w:pStyle w:val="TBodytotalNumber"/>
            </w:pPr>
            <w:r>
              <w:t>970</w:t>
            </w:r>
          </w:p>
        </w:tc>
        <w:tc>
          <w:tcPr>
            <w:tcW w:w="119" w:type="dxa"/>
            <w:tcBorders>
              <w:bottom w:val="single" w:sz="8" w:space="0" w:color="991D85"/>
            </w:tcBorders>
            <w:noWrap/>
            <w:vAlign w:val="bottom"/>
          </w:tcPr>
          <w:p w14:paraId="79571E06"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1E27C38B" w14:textId="77777777" w:rsidR="00023CAA" w:rsidRDefault="00023CAA" w:rsidP="00804D18">
            <w:pPr>
              <w:pStyle w:val="TBodytotalNumber"/>
            </w:pPr>
            <w:r>
              <w:t>-12</w:t>
            </w:r>
          </w:p>
        </w:tc>
      </w:tr>
    </w:tbl>
    <w:p w14:paraId="77A47097" w14:textId="77777777" w:rsidR="00023CAA" w:rsidRDefault="00023CAA" w:rsidP="00023CAA">
      <w:pPr>
        <w:autoSpaceDE w:val="0"/>
        <w:autoSpaceDN w:val="0"/>
        <w:adjustRightInd w:val="0"/>
        <w:spacing w:line="220" w:lineRule="exact"/>
        <w:rPr>
          <w:rFonts w:cs="Lucida Sans Unicode"/>
          <w:b/>
          <w:bCs/>
          <w:sz w:val="18"/>
          <w:szCs w:val="18"/>
        </w:rPr>
      </w:pPr>
    </w:p>
    <w:p w14:paraId="7A803B7A" w14:textId="77777777" w:rsidR="00023CAA" w:rsidRDefault="00023CAA" w:rsidP="00023CAA">
      <w:pPr>
        <w:autoSpaceDE w:val="0"/>
        <w:autoSpaceDN w:val="0"/>
        <w:adjustRightInd w:val="0"/>
        <w:spacing w:line="220" w:lineRule="exact"/>
        <w:rPr>
          <w:rFonts w:cs="Lucida Sans Unicode"/>
          <w:b/>
          <w:bCs/>
          <w:sz w:val="18"/>
          <w:szCs w:val="18"/>
        </w:rPr>
      </w:pPr>
    </w:p>
    <w:tbl>
      <w:tblPr>
        <w:tblW w:w="9752" w:type="dxa"/>
        <w:tblLayout w:type="fixed"/>
        <w:tblCellMar>
          <w:left w:w="0" w:type="dxa"/>
          <w:right w:w="0" w:type="dxa"/>
        </w:tblCellMar>
        <w:tblLook w:val="0000" w:firstRow="0" w:lastRow="0" w:firstColumn="0" w:lastColumn="0" w:noHBand="0" w:noVBand="0"/>
        <w:tblDescription w:val="SNEID_c720cab57c594aada75418c71280f863"/>
      </w:tblPr>
      <w:tblGrid>
        <w:gridCol w:w="7472"/>
        <w:gridCol w:w="119"/>
        <w:gridCol w:w="1021"/>
        <w:gridCol w:w="119"/>
        <w:gridCol w:w="1021"/>
      </w:tblGrid>
      <w:tr w:rsidR="00023CAA" w14:paraId="293DE449" w14:textId="77777777" w:rsidTr="00804D18">
        <w:tc>
          <w:tcPr>
            <w:tcW w:w="7473" w:type="dxa"/>
            <w:noWrap/>
            <w:vAlign w:val="bottom"/>
          </w:tcPr>
          <w:p w14:paraId="2476A372" w14:textId="77777777" w:rsidR="00023CAA" w:rsidRDefault="00023CAA" w:rsidP="00804D18">
            <w:pPr>
              <w:pStyle w:val="TTitleText"/>
            </w:pPr>
            <w:r>
              <w:t>Mitarbeiter nach Segmenten</w:t>
            </w:r>
          </w:p>
        </w:tc>
        <w:tc>
          <w:tcPr>
            <w:tcW w:w="119" w:type="dxa"/>
            <w:noWrap/>
            <w:vAlign w:val="bottom"/>
          </w:tcPr>
          <w:p w14:paraId="76690415" w14:textId="77777777" w:rsidR="00023CAA" w:rsidRDefault="00023CAA" w:rsidP="00804D18">
            <w:pPr>
              <w:pStyle w:val="TTitleText"/>
            </w:pPr>
          </w:p>
        </w:tc>
        <w:tc>
          <w:tcPr>
            <w:tcW w:w="1021" w:type="dxa"/>
            <w:noWrap/>
            <w:vAlign w:val="bottom"/>
          </w:tcPr>
          <w:p w14:paraId="35CE9842" w14:textId="77777777" w:rsidR="00023CAA" w:rsidRDefault="00023CAA" w:rsidP="00804D18">
            <w:pPr>
              <w:pStyle w:val="TTitleText"/>
            </w:pPr>
          </w:p>
        </w:tc>
        <w:tc>
          <w:tcPr>
            <w:tcW w:w="119" w:type="dxa"/>
            <w:noWrap/>
            <w:vAlign w:val="bottom"/>
          </w:tcPr>
          <w:p w14:paraId="51B3F4EA" w14:textId="77777777" w:rsidR="00023CAA" w:rsidRDefault="00023CAA" w:rsidP="00804D18">
            <w:pPr>
              <w:pStyle w:val="TTitleText"/>
            </w:pPr>
          </w:p>
        </w:tc>
        <w:tc>
          <w:tcPr>
            <w:tcW w:w="1021" w:type="dxa"/>
            <w:noWrap/>
            <w:vAlign w:val="bottom"/>
          </w:tcPr>
          <w:p w14:paraId="7FC7A625" w14:textId="77777777" w:rsidR="00023CAA" w:rsidRDefault="00023CAA" w:rsidP="00804D18">
            <w:pPr>
              <w:pStyle w:val="TTitleText"/>
            </w:pPr>
          </w:p>
        </w:tc>
      </w:tr>
      <w:tr w:rsidR="00023CAA" w14:paraId="10553234" w14:textId="77777777" w:rsidTr="00804D18">
        <w:tc>
          <w:tcPr>
            <w:tcW w:w="7473" w:type="dxa"/>
            <w:tcBorders>
              <w:top w:val="single" w:sz="8" w:space="0" w:color="000000"/>
            </w:tcBorders>
            <w:noWrap/>
            <w:vAlign w:val="bottom"/>
          </w:tcPr>
          <w:p w14:paraId="466B8E53" w14:textId="77777777" w:rsidR="00023CAA" w:rsidRDefault="00023CAA" w:rsidP="00804D18">
            <w:pPr>
              <w:pStyle w:val="TDummy"/>
              <w:keepNext/>
            </w:pPr>
          </w:p>
        </w:tc>
        <w:tc>
          <w:tcPr>
            <w:tcW w:w="119" w:type="dxa"/>
            <w:tcBorders>
              <w:top w:val="single" w:sz="8" w:space="0" w:color="000000"/>
            </w:tcBorders>
            <w:noWrap/>
            <w:vAlign w:val="bottom"/>
          </w:tcPr>
          <w:p w14:paraId="273FDCC5" w14:textId="77777777" w:rsidR="00023CAA" w:rsidRDefault="00023CAA" w:rsidP="00804D18">
            <w:pPr>
              <w:pStyle w:val="TDummy"/>
              <w:keepNext/>
            </w:pPr>
          </w:p>
        </w:tc>
        <w:tc>
          <w:tcPr>
            <w:tcW w:w="1021" w:type="dxa"/>
            <w:tcBorders>
              <w:top w:val="single" w:sz="8" w:space="0" w:color="000000"/>
            </w:tcBorders>
            <w:noWrap/>
            <w:vAlign w:val="bottom"/>
          </w:tcPr>
          <w:p w14:paraId="58054A81" w14:textId="77777777" w:rsidR="00023CAA" w:rsidRDefault="00023CAA" w:rsidP="00804D18">
            <w:pPr>
              <w:pStyle w:val="TDummy"/>
              <w:keepNext/>
            </w:pPr>
          </w:p>
        </w:tc>
        <w:tc>
          <w:tcPr>
            <w:tcW w:w="119" w:type="dxa"/>
            <w:tcBorders>
              <w:top w:val="single" w:sz="8" w:space="0" w:color="000000"/>
            </w:tcBorders>
            <w:noWrap/>
            <w:vAlign w:val="bottom"/>
          </w:tcPr>
          <w:p w14:paraId="5E082801" w14:textId="77777777" w:rsidR="00023CAA" w:rsidRDefault="00023CAA" w:rsidP="00804D18">
            <w:pPr>
              <w:pStyle w:val="TDummy"/>
              <w:keepNext/>
            </w:pPr>
          </w:p>
        </w:tc>
        <w:tc>
          <w:tcPr>
            <w:tcW w:w="1021" w:type="dxa"/>
            <w:tcBorders>
              <w:top w:val="single" w:sz="8" w:space="0" w:color="000000"/>
            </w:tcBorders>
            <w:noWrap/>
            <w:vAlign w:val="bottom"/>
          </w:tcPr>
          <w:p w14:paraId="79F392D7" w14:textId="77777777" w:rsidR="00023CAA" w:rsidRDefault="00023CAA" w:rsidP="00804D18">
            <w:pPr>
              <w:pStyle w:val="TDummy"/>
              <w:keepNext/>
            </w:pPr>
          </w:p>
        </w:tc>
      </w:tr>
      <w:tr w:rsidR="00023CAA" w14:paraId="145C1CF8" w14:textId="77777777" w:rsidTr="00804D18">
        <w:tc>
          <w:tcPr>
            <w:tcW w:w="7473" w:type="dxa"/>
            <w:tcBorders>
              <w:bottom w:val="single" w:sz="4" w:space="0" w:color="A59C94"/>
            </w:tcBorders>
            <w:shd w:val="clear" w:color="000000" w:fill="FFFFFF"/>
            <w:noWrap/>
            <w:vAlign w:val="bottom"/>
          </w:tcPr>
          <w:p w14:paraId="2F739E2D" w14:textId="77777777" w:rsidR="00023CAA" w:rsidRDefault="00023CAA" w:rsidP="00804D18">
            <w:pPr>
              <w:pStyle w:val="THeadsingleText"/>
            </w:pPr>
            <w:bookmarkStart w:id="38" w:name="RANGE!B49:F49"/>
            <w:bookmarkEnd w:id="38"/>
          </w:p>
        </w:tc>
        <w:tc>
          <w:tcPr>
            <w:tcW w:w="119" w:type="dxa"/>
            <w:noWrap/>
            <w:vAlign w:val="bottom"/>
          </w:tcPr>
          <w:p w14:paraId="0188016A" w14:textId="77777777" w:rsidR="00023CAA" w:rsidRDefault="00023CAA" w:rsidP="00804D18">
            <w:pPr>
              <w:pStyle w:val="THeadsingleNumber"/>
            </w:pPr>
          </w:p>
        </w:tc>
        <w:tc>
          <w:tcPr>
            <w:tcW w:w="1021" w:type="dxa"/>
            <w:tcBorders>
              <w:bottom w:val="single" w:sz="4" w:space="0" w:color="A59C94"/>
            </w:tcBorders>
            <w:shd w:val="clear" w:color="000000" w:fill="FFFFFF"/>
            <w:vAlign w:val="center"/>
          </w:tcPr>
          <w:p w14:paraId="59AAE38C" w14:textId="77777777" w:rsidR="00023CAA" w:rsidRDefault="00023CAA" w:rsidP="00804D18">
            <w:pPr>
              <w:pStyle w:val="THeadsingleNumber"/>
            </w:pPr>
            <w:r>
              <w:t>31.12.2019</w:t>
            </w:r>
          </w:p>
        </w:tc>
        <w:tc>
          <w:tcPr>
            <w:tcW w:w="119" w:type="dxa"/>
            <w:vAlign w:val="center"/>
          </w:tcPr>
          <w:p w14:paraId="0BE859DD" w14:textId="77777777" w:rsidR="00023CAA" w:rsidRDefault="00023CAA" w:rsidP="00804D18">
            <w:pPr>
              <w:pStyle w:val="THeadsingleNumber"/>
            </w:pPr>
          </w:p>
        </w:tc>
        <w:tc>
          <w:tcPr>
            <w:tcW w:w="1021" w:type="dxa"/>
            <w:tcBorders>
              <w:bottom w:val="single" w:sz="4" w:space="0" w:color="A59C94"/>
            </w:tcBorders>
            <w:shd w:val="clear" w:color="000000" w:fill="FFFFFF"/>
            <w:vAlign w:val="center"/>
          </w:tcPr>
          <w:p w14:paraId="6BCC36B8" w14:textId="77777777" w:rsidR="00023CAA" w:rsidRDefault="00023CAA" w:rsidP="00804D18">
            <w:pPr>
              <w:pStyle w:val="THeadsingleNumberbold"/>
            </w:pPr>
            <w:bookmarkStart w:id="39" w:name="RANGE!F49:F57"/>
            <w:bookmarkEnd w:id="39"/>
            <w:r>
              <w:t>30.06.2020</w:t>
            </w:r>
          </w:p>
        </w:tc>
      </w:tr>
      <w:tr w:rsidR="00023CAA" w14:paraId="0A96ABEF" w14:textId="77777777" w:rsidTr="00804D18">
        <w:tc>
          <w:tcPr>
            <w:tcW w:w="7473" w:type="dxa"/>
            <w:tcBorders>
              <w:top w:val="single" w:sz="4" w:space="0" w:color="A59C94"/>
              <w:bottom w:val="single" w:sz="4" w:space="0" w:color="A59C94"/>
            </w:tcBorders>
            <w:noWrap/>
            <w:vAlign w:val="bottom"/>
          </w:tcPr>
          <w:p w14:paraId="2CD00DC4" w14:textId="77777777" w:rsidR="00023CAA" w:rsidRDefault="00023CAA" w:rsidP="00804D18">
            <w:pPr>
              <w:pStyle w:val="TBodynormalText"/>
            </w:pPr>
            <w:r>
              <w:t>Nutrition &amp; Care</w:t>
            </w:r>
          </w:p>
        </w:tc>
        <w:tc>
          <w:tcPr>
            <w:tcW w:w="119" w:type="dxa"/>
            <w:noWrap/>
            <w:vAlign w:val="bottom"/>
          </w:tcPr>
          <w:p w14:paraId="44ACF078"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9920462" w14:textId="77777777" w:rsidR="00023CAA" w:rsidRDefault="00023CAA" w:rsidP="00804D18">
            <w:pPr>
              <w:pStyle w:val="TBodynormalNumber"/>
              <w:keepNext/>
            </w:pPr>
            <w:r>
              <w:t>8.090</w:t>
            </w:r>
          </w:p>
        </w:tc>
        <w:tc>
          <w:tcPr>
            <w:tcW w:w="119" w:type="dxa"/>
            <w:noWrap/>
            <w:vAlign w:val="bottom"/>
          </w:tcPr>
          <w:p w14:paraId="31BF06CF"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874F990" w14:textId="77777777" w:rsidR="00023CAA" w:rsidRDefault="00023CAA" w:rsidP="00804D18">
            <w:pPr>
              <w:pStyle w:val="TBodynormalNumber"/>
              <w:keepNext/>
            </w:pPr>
            <w:r>
              <w:t>7.979</w:t>
            </w:r>
          </w:p>
        </w:tc>
      </w:tr>
      <w:tr w:rsidR="00023CAA" w14:paraId="0DAA74F7" w14:textId="77777777" w:rsidTr="00804D18">
        <w:tc>
          <w:tcPr>
            <w:tcW w:w="7473" w:type="dxa"/>
            <w:tcBorders>
              <w:top w:val="single" w:sz="4" w:space="0" w:color="A59C94"/>
              <w:bottom w:val="single" w:sz="4" w:space="0" w:color="A59C94"/>
            </w:tcBorders>
            <w:noWrap/>
            <w:vAlign w:val="bottom"/>
          </w:tcPr>
          <w:p w14:paraId="514EA027" w14:textId="77777777" w:rsidR="00023CAA" w:rsidRDefault="00023CAA" w:rsidP="00804D18">
            <w:pPr>
              <w:pStyle w:val="TBodynormalText"/>
            </w:pPr>
            <w:r>
              <w:t>Resource Efficiency</w:t>
            </w:r>
          </w:p>
        </w:tc>
        <w:tc>
          <w:tcPr>
            <w:tcW w:w="119" w:type="dxa"/>
            <w:noWrap/>
            <w:vAlign w:val="bottom"/>
          </w:tcPr>
          <w:p w14:paraId="5062D813"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7B083DEB" w14:textId="77777777" w:rsidR="00023CAA" w:rsidRDefault="00023CAA" w:rsidP="00804D18">
            <w:pPr>
              <w:pStyle w:val="TBodynormalNumber"/>
              <w:keepNext/>
            </w:pPr>
            <w:r>
              <w:t>10.153</w:t>
            </w:r>
          </w:p>
        </w:tc>
        <w:tc>
          <w:tcPr>
            <w:tcW w:w="119" w:type="dxa"/>
            <w:noWrap/>
            <w:vAlign w:val="bottom"/>
          </w:tcPr>
          <w:p w14:paraId="063C6B97"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6F84636" w14:textId="77777777" w:rsidR="00023CAA" w:rsidRDefault="00023CAA" w:rsidP="00804D18">
            <w:pPr>
              <w:pStyle w:val="TBodynormalNumber"/>
              <w:keepNext/>
            </w:pPr>
            <w:r>
              <w:t>10.564</w:t>
            </w:r>
          </w:p>
        </w:tc>
      </w:tr>
      <w:tr w:rsidR="00023CAA" w14:paraId="2D5840E5" w14:textId="77777777" w:rsidTr="00804D18">
        <w:tc>
          <w:tcPr>
            <w:tcW w:w="7473" w:type="dxa"/>
            <w:tcBorders>
              <w:top w:val="single" w:sz="4" w:space="0" w:color="A59C94"/>
              <w:bottom w:val="single" w:sz="4" w:space="0" w:color="A59C94"/>
            </w:tcBorders>
            <w:noWrap/>
            <w:vAlign w:val="bottom"/>
          </w:tcPr>
          <w:p w14:paraId="5F55D80F" w14:textId="77777777" w:rsidR="00023CAA" w:rsidRDefault="00023CAA" w:rsidP="00804D18">
            <w:pPr>
              <w:pStyle w:val="TBodynormalText"/>
            </w:pPr>
            <w:r>
              <w:t>Performance Materials</w:t>
            </w:r>
          </w:p>
        </w:tc>
        <w:tc>
          <w:tcPr>
            <w:tcW w:w="119" w:type="dxa"/>
            <w:noWrap/>
            <w:vAlign w:val="bottom"/>
          </w:tcPr>
          <w:p w14:paraId="7B4E975B"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11116B15" w14:textId="77777777" w:rsidR="00023CAA" w:rsidRDefault="00023CAA" w:rsidP="00804D18">
            <w:pPr>
              <w:pStyle w:val="TBodynormalNumber"/>
              <w:keepNext/>
            </w:pPr>
            <w:r>
              <w:t>1.622</w:t>
            </w:r>
          </w:p>
        </w:tc>
        <w:tc>
          <w:tcPr>
            <w:tcW w:w="119" w:type="dxa"/>
            <w:noWrap/>
            <w:vAlign w:val="bottom"/>
          </w:tcPr>
          <w:p w14:paraId="6445C331"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35E2257" w14:textId="77777777" w:rsidR="00023CAA" w:rsidRDefault="00023CAA" w:rsidP="00804D18">
            <w:pPr>
              <w:pStyle w:val="TBodynormalNumber"/>
              <w:keepNext/>
            </w:pPr>
            <w:r>
              <w:t>1.605</w:t>
            </w:r>
          </w:p>
        </w:tc>
      </w:tr>
      <w:tr w:rsidR="00023CAA" w14:paraId="09DF036B" w14:textId="77777777" w:rsidTr="00804D18">
        <w:tc>
          <w:tcPr>
            <w:tcW w:w="7473" w:type="dxa"/>
            <w:tcBorders>
              <w:top w:val="single" w:sz="4" w:space="0" w:color="A59C94"/>
              <w:bottom w:val="single" w:sz="4" w:space="0" w:color="A59C94"/>
            </w:tcBorders>
            <w:noWrap/>
            <w:vAlign w:val="bottom"/>
          </w:tcPr>
          <w:p w14:paraId="2DBE4A23" w14:textId="77777777" w:rsidR="00023CAA" w:rsidRDefault="00023CAA" w:rsidP="00804D18">
            <w:pPr>
              <w:pStyle w:val="TBodynormalText"/>
            </w:pPr>
            <w:r>
              <w:t>Services</w:t>
            </w:r>
          </w:p>
        </w:tc>
        <w:tc>
          <w:tcPr>
            <w:tcW w:w="119" w:type="dxa"/>
            <w:noWrap/>
            <w:vAlign w:val="bottom"/>
          </w:tcPr>
          <w:p w14:paraId="782EFC59"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3D93E828" w14:textId="77777777" w:rsidR="00023CAA" w:rsidRDefault="00023CAA" w:rsidP="00804D18">
            <w:pPr>
              <w:pStyle w:val="TBodynormalNumber"/>
              <w:keepNext/>
            </w:pPr>
            <w:r>
              <w:t>12.037</w:t>
            </w:r>
          </w:p>
        </w:tc>
        <w:tc>
          <w:tcPr>
            <w:tcW w:w="119" w:type="dxa"/>
            <w:noWrap/>
            <w:vAlign w:val="bottom"/>
          </w:tcPr>
          <w:p w14:paraId="6E3E09E4"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D0E54FB" w14:textId="77777777" w:rsidR="00023CAA" w:rsidRDefault="00023CAA" w:rsidP="00804D18">
            <w:pPr>
              <w:pStyle w:val="TBodynormalNumber"/>
              <w:keepNext/>
            </w:pPr>
            <w:r>
              <w:t>11.988</w:t>
            </w:r>
          </w:p>
        </w:tc>
      </w:tr>
      <w:tr w:rsidR="00023CAA" w14:paraId="59C07D21" w14:textId="77777777" w:rsidTr="00804D18">
        <w:tc>
          <w:tcPr>
            <w:tcW w:w="7473" w:type="dxa"/>
            <w:tcBorders>
              <w:top w:val="single" w:sz="4" w:space="0" w:color="A59C94"/>
              <w:bottom w:val="single" w:sz="4" w:space="0" w:color="A59C94"/>
            </w:tcBorders>
            <w:noWrap/>
            <w:vAlign w:val="bottom"/>
          </w:tcPr>
          <w:p w14:paraId="4B92D85E" w14:textId="77777777" w:rsidR="00023CAA" w:rsidRDefault="00023CAA" w:rsidP="00804D18">
            <w:pPr>
              <w:pStyle w:val="TBodynormalText"/>
            </w:pPr>
            <w:r>
              <w:t>Sonstige Aktivitäten</w:t>
            </w:r>
          </w:p>
        </w:tc>
        <w:tc>
          <w:tcPr>
            <w:tcW w:w="119" w:type="dxa"/>
            <w:noWrap/>
            <w:vAlign w:val="bottom"/>
          </w:tcPr>
          <w:p w14:paraId="5B836656" w14:textId="77777777" w:rsidR="00023CAA" w:rsidRDefault="00023CAA" w:rsidP="00804D18">
            <w:pPr>
              <w:pStyle w:val="TBodynormalNumber"/>
              <w:keepNext/>
            </w:pPr>
          </w:p>
        </w:tc>
        <w:tc>
          <w:tcPr>
            <w:tcW w:w="1021" w:type="dxa"/>
            <w:tcBorders>
              <w:top w:val="single" w:sz="4" w:space="0" w:color="A59C94"/>
              <w:bottom w:val="single" w:sz="4" w:space="0" w:color="A59C94"/>
            </w:tcBorders>
            <w:noWrap/>
            <w:vAlign w:val="bottom"/>
          </w:tcPr>
          <w:p w14:paraId="5AF9E96D" w14:textId="77777777" w:rsidR="00023CAA" w:rsidRDefault="00023CAA" w:rsidP="00804D18">
            <w:pPr>
              <w:pStyle w:val="TBodynormalNumber"/>
              <w:keepNext/>
            </w:pPr>
            <w:r>
              <w:t>521</w:t>
            </w:r>
          </w:p>
        </w:tc>
        <w:tc>
          <w:tcPr>
            <w:tcW w:w="119" w:type="dxa"/>
            <w:noWrap/>
            <w:vAlign w:val="bottom"/>
          </w:tcPr>
          <w:p w14:paraId="407CE1ED" w14:textId="77777777" w:rsidR="00023CAA" w:rsidRDefault="00023CAA"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1F40715" w14:textId="77777777" w:rsidR="00023CAA" w:rsidRDefault="00023CAA" w:rsidP="00804D18">
            <w:pPr>
              <w:pStyle w:val="TBodynormalNumber"/>
              <w:keepNext/>
            </w:pPr>
            <w:r>
              <w:t>485</w:t>
            </w:r>
          </w:p>
        </w:tc>
      </w:tr>
      <w:tr w:rsidR="00023CAA" w14:paraId="389C2620" w14:textId="77777777" w:rsidTr="00804D18">
        <w:tc>
          <w:tcPr>
            <w:tcW w:w="7473" w:type="dxa"/>
            <w:tcBorders>
              <w:top w:val="single" w:sz="4" w:space="0" w:color="A59C94"/>
              <w:bottom w:val="single" w:sz="8" w:space="0" w:color="991D85"/>
            </w:tcBorders>
            <w:noWrap/>
            <w:vAlign w:val="bottom"/>
          </w:tcPr>
          <w:p w14:paraId="488D4649" w14:textId="77777777" w:rsidR="00023CAA" w:rsidRDefault="00023CAA" w:rsidP="00804D18">
            <w:pPr>
              <w:pStyle w:val="TBodytotalText"/>
            </w:pPr>
            <w:bookmarkStart w:id="40" w:name="RANGE!B57:F57"/>
            <w:bookmarkEnd w:id="40"/>
            <w:r>
              <w:t>Konzern</w:t>
            </w:r>
          </w:p>
        </w:tc>
        <w:tc>
          <w:tcPr>
            <w:tcW w:w="119" w:type="dxa"/>
            <w:tcBorders>
              <w:bottom w:val="single" w:sz="8" w:space="0" w:color="991D85"/>
            </w:tcBorders>
            <w:noWrap/>
            <w:vAlign w:val="bottom"/>
          </w:tcPr>
          <w:p w14:paraId="6ECE3C8D" w14:textId="77777777" w:rsidR="00023CAA" w:rsidRDefault="00023CAA" w:rsidP="00804D18">
            <w:pPr>
              <w:pStyle w:val="TBodytotalNumber"/>
            </w:pPr>
          </w:p>
        </w:tc>
        <w:tc>
          <w:tcPr>
            <w:tcW w:w="1021" w:type="dxa"/>
            <w:tcBorders>
              <w:top w:val="single" w:sz="4" w:space="0" w:color="A59C94"/>
              <w:bottom w:val="single" w:sz="8" w:space="0" w:color="991D85"/>
            </w:tcBorders>
            <w:noWrap/>
            <w:vAlign w:val="bottom"/>
          </w:tcPr>
          <w:p w14:paraId="78F5EBD9" w14:textId="77777777" w:rsidR="00023CAA" w:rsidRDefault="00023CAA" w:rsidP="00804D18">
            <w:pPr>
              <w:pStyle w:val="TBodytotalNumber"/>
            </w:pPr>
            <w:r>
              <w:t>32.423</w:t>
            </w:r>
          </w:p>
        </w:tc>
        <w:tc>
          <w:tcPr>
            <w:tcW w:w="119" w:type="dxa"/>
            <w:tcBorders>
              <w:bottom w:val="single" w:sz="8" w:space="0" w:color="991D85"/>
            </w:tcBorders>
            <w:noWrap/>
            <w:vAlign w:val="bottom"/>
          </w:tcPr>
          <w:p w14:paraId="0D65E323" w14:textId="77777777" w:rsidR="00023CAA" w:rsidRDefault="00023CAA"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18C78092" w14:textId="77777777" w:rsidR="00023CAA" w:rsidRDefault="00023CAA" w:rsidP="00804D18">
            <w:pPr>
              <w:pStyle w:val="TBodytotalNumber"/>
            </w:pPr>
            <w:r>
              <w:t>32.621</w:t>
            </w:r>
          </w:p>
        </w:tc>
      </w:tr>
    </w:tbl>
    <w:p w14:paraId="596F5F3B" w14:textId="77777777" w:rsidR="00023CAA" w:rsidRDefault="00023CAA" w:rsidP="00023CAA">
      <w:pPr>
        <w:autoSpaceDE w:val="0"/>
        <w:autoSpaceDN w:val="0"/>
        <w:adjustRightInd w:val="0"/>
        <w:spacing w:line="220" w:lineRule="exact"/>
        <w:rPr>
          <w:rFonts w:cs="Lucida Sans Unicode"/>
          <w:b/>
          <w:bCs/>
          <w:sz w:val="18"/>
          <w:szCs w:val="18"/>
        </w:rPr>
      </w:pPr>
    </w:p>
    <w:p w14:paraId="20A550D3" w14:textId="77777777" w:rsidR="00023CAA" w:rsidRDefault="00023CAA" w:rsidP="00023CAA">
      <w:pPr>
        <w:autoSpaceDE w:val="0"/>
        <w:autoSpaceDN w:val="0"/>
        <w:adjustRightInd w:val="0"/>
        <w:spacing w:line="220" w:lineRule="exact"/>
        <w:rPr>
          <w:rFonts w:cs="Lucida Sans Unicode"/>
          <w:b/>
          <w:bCs/>
          <w:sz w:val="18"/>
          <w:szCs w:val="18"/>
        </w:rPr>
      </w:pPr>
    </w:p>
    <w:p w14:paraId="2B06894F" w14:textId="77777777" w:rsidR="0082585C" w:rsidRDefault="0082585C" w:rsidP="00B82236">
      <w:pPr>
        <w:spacing w:line="240" w:lineRule="auto"/>
        <w:rPr>
          <w:rFonts w:cs="Lucida Sans Unicode"/>
          <w:b/>
          <w:bCs/>
          <w:sz w:val="18"/>
          <w:szCs w:val="18"/>
        </w:rPr>
      </w:pPr>
    </w:p>
    <w:p w14:paraId="6F40C3A6" w14:textId="77777777" w:rsidR="0082585C" w:rsidRDefault="0082585C" w:rsidP="00B82236">
      <w:pPr>
        <w:spacing w:line="240" w:lineRule="auto"/>
        <w:rPr>
          <w:rFonts w:cs="Lucida Sans Unicode"/>
          <w:b/>
          <w:bCs/>
          <w:sz w:val="18"/>
          <w:szCs w:val="18"/>
        </w:rPr>
      </w:pPr>
    </w:p>
    <w:p w14:paraId="7FE9E5F6" w14:textId="5D963A5F" w:rsidR="0082585C" w:rsidRDefault="0082585C" w:rsidP="00B82236">
      <w:pPr>
        <w:spacing w:line="240" w:lineRule="auto"/>
        <w:rPr>
          <w:rFonts w:cs="Lucida Sans Unicode"/>
          <w:b/>
          <w:bCs/>
          <w:sz w:val="18"/>
          <w:szCs w:val="18"/>
        </w:rPr>
      </w:pPr>
    </w:p>
    <w:p w14:paraId="674A2FFE" w14:textId="2420092E" w:rsidR="0082585C" w:rsidRDefault="0082585C" w:rsidP="00B82236">
      <w:pPr>
        <w:spacing w:line="240" w:lineRule="auto"/>
        <w:rPr>
          <w:rFonts w:cs="Lucida Sans Unicode"/>
          <w:b/>
          <w:bCs/>
          <w:sz w:val="18"/>
          <w:szCs w:val="18"/>
        </w:rPr>
      </w:pPr>
    </w:p>
    <w:p w14:paraId="7C0CDE62" w14:textId="77777777" w:rsidR="0082585C" w:rsidRDefault="0082585C" w:rsidP="00B82236">
      <w:pPr>
        <w:spacing w:line="240" w:lineRule="auto"/>
        <w:rPr>
          <w:rFonts w:cs="Lucida Sans Unicode"/>
          <w:b/>
          <w:bCs/>
          <w:sz w:val="18"/>
          <w:szCs w:val="18"/>
        </w:rPr>
      </w:pPr>
    </w:p>
    <w:p w14:paraId="58A76119" w14:textId="77777777" w:rsidR="0082585C" w:rsidRDefault="0082585C" w:rsidP="00B82236">
      <w:pPr>
        <w:spacing w:line="240" w:lineRule="auto"/>
        <w:rPr>
          <w:rFonts w:cs="Lucida Sans Unicode"/>
          <w:b/>
          <w:bCs/>
          <w:sz w:val="18"/>
          <w:szCs w:val="18"/>
        </w:rPr>
      </w:pPr>
    </w:p>
    <w:p w14:paraId="75E91838" w14:textId="77777777" w:rsidR="0082585C" w:rsidRDefault="0082585C" w:rsidP="00B82236">
      <w:pPr>
        <w:spacing w:line="240" w:lineRule="auto"/>
        <w:rPr>
          <w:rFonts w:cs="Lucida Sans Unicode"/>
          <w:b/>
          <w:bCs/>
          <w:sz w:val="18"/>
          <w:szCs w:val="18"/>
        </w:rPr>
      </w:pPr>
    </w:p>
    <w:p w14:paraId="6140BB08" w14:textId="2844E3EF" w:rsidR="00EE3816" w:rsidRPr="00B82236" w:rsidRDefault="00EE3816" w:rsidP="00B82236">
      <w:pPr>
        <w:spacing w:line="240" w:lineRule="auto"/>
      </w:pPr>
      <w:r>
        <w:rPr>
          <w:rFonts w:cs="Lucida Sans Unicode"/>
          <w:b/>
          <w:bCs/>
          <w:sz w:val="18"/>
          <w:szCs w:val="18"/>
        </w:rPr>
        <w:t xml:space="preserve">Informationen 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77777777" w:rsidR="007D5CD9" w:rsidRP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2C449BB5" w14:textId="77777777" w:rsidR="007D5CD9" w:rsidRDefault="007D5CD9" w:rsidP="00EE3816">
      <w:pPr>
        <w:autoSpaceDE w:val="0"/>
        <w:autoSpaceDN w:val="0"/>
        <w:adjustRightInd w:val="0"/>
        <w:spacing w:line="220" w:lineRule="exact"/>
        <w:rPr>
          <w:rFonts w:cs="Lucida Sans Unicode"/>
          <w:b/>
          <w:bCs/>
          <w:sz w:val="18"/>
          <w:szCs w:val="18"/>
        </w:rPr>
      </w:pP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30E85F21"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w:t>
      </w:r>
      <w:r w:rsidR="0082585C">
        <w:rPr>
          <w:rFonts w:cs="Lucida Sans Unicode"/>
          <w:bCs/>
          <w:sz w:val="18"/>
          <w:szCs w:val="18"/>
        </w:rPr>
        <w:t xml:space="preserve"> </w:t>
      </w:r>
      <w:r>
        <w:rPr>
          <w:rFonts w:cs="Lucida Sans Unicode"/>
          <w:bCs/>
          <w:sz w:val="18"/>
          <w:szCs w:val="18"/>
        </w:rPr>
        <w:t>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5CA" w14:textId="77777777" w:rsidR="00A50E27" w:rsidRDefault="00A50E27" w:rsidP="00FD1184">
      <w:r>
        <w:separator/>
      </w:r>
    </w:p>
  </w:endnote>
  <w:endnote w:type="continuationSeparator" w:id="0">
    <w:p w14:paraId="45E9689C" w14:textId="77777777" w:rsidR="00A50E27" w:rsidRDefault="00A50E2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0A2297" w:rsidRDefault="000A22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877DE8" w:rsidRDefault="00877DE8">
    <w:pPr>
      <w:pStyle w:val="Fuzeile"/>
    </w:pPr>
  </w:p>
  <w:p w14:paraId="25AD86C7" w14:textId="77777777" w:rsidR="00877DE8" w:rsidRDefault="00877DE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877DE8" w:rsidRDefault="00877DE8" w:rsidP="00316EC0">
    <w:pPr>
      <w:pStyle w:val="Fuzeile"/>
    </w:pPr>
  </w:p>
  <w:p w14:paraId="71D5BF5A" w14:textId="77777777" w:rsidR="00877DE8" w:rsidRPr="005225EC" w:rsidRDefault="00877DE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B08C" w14:textId="77777777" w:rsidR="00A50E27" w:rsidRDefault="00A50E27" w:rsidP="00FD1184">
      <w:r>
        <w:separator/>
      </w:r>
    </w:p>
  </w:footnote>
  <w:footnote w:type="continuationSeparator" w:id="0">
    <w:p w14:paraId="280E793C" w14:textId="77777777" w:rsidR="00A50E27" w:rsidRDefault="00A50E2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0A2297" w:rsidRDefault="000A22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877DE8" w:rsidRPr="006C35A6" w:rsidRDefault="00877DE8"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0A2297">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877DE8" w:rsidRPr="006C35A6" w:rsidRDefault="00877DE8">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70C0A">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4"/>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4555"/>
    <w:rsid w:val="000846DA"/>
    <w:rsid w:val="00086556"/>
    <w:rsid w:val="000902FA"/>
    <w:rsid w:val="00092F83"/>
    <w:rsid w:val="00095408"/>
    <w:rsid w:val="000A0DDB"/>
    <w:rsid w:val="000A2297"/>
    <w:rsid w:val="000A4BC1"/>
    <w:rsid w:val="000A7091"/>
    <w:rsid w:val="000B1B97"/>
    <w:rsid w:val="000B4D73"/>
    <w:rsid w:val="000D1DD8"/>
    <w:rsid w:val="000E06AB"/>
    <w:rsid w:val="000F262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25AF"/>
    <w:rsid w:val="001631E8"/>
    <w:rsid w:val="00165932"/>
    <w:rsid w:val="0017309F"/>
    <w:rsid w:val="0017414F"/>
    <w:rsid w:val="00193955"/>
    <w:rsid w:val="00196518"/>
    <w:rsid w:val="001B206A"/>
    <w:rsid w:val="001B2FC7"/>
    <w:rsid w:val="001D1198"/>
    <w:rsid w:val="001F00B7"/>
    <w:rsid w:val="001F7C2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6283"/>
    <w:rsid w:val="005020EF"/>
    <w:rsid w:val="00502549"/>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B1EDA"/>
    <w:rsid w:val="005B3BD7"/>
    <w:rsid w:val="005B6183"/>
    <w:rsid w:val="005E0397"/>
    <w:rsid w:val="005E48D0"/>
    <w:rsid w:val="005E799F"/>
    <w:rsid w:val="005F2092"/>
    <w:rsid w:val="005F234C"/>
    <w:rsid w:val="005F50D9"/>
    <w:rsid w:val="00605C02"/>
    <w:rsid w:val="00606A38"/>
    <w:rsid w:val="00623460"/>
    <w:rsid w:val="006338F8"/>
    <w:rsid w:val="00636C35"/>
    <w:rsid w:val="006436AC"/>
    <w:rsid w:val="00645F2F"/>
    <w:rsid w:val="00647919"/>
    <w:rsid w:val="00651F1E"/>
    <w:rsid w:val="00652A75"/>
    <w:rsid w:val="00654DEA"/>
    <w:rsid w:val="006651E2"/>
    <w:rsid w:val="006729D2"/>
    <w:rsid w:val="00686130"/>
    <w:rsid w:val="00691BAF"/>
    <w:rsid w:val="00696594"/>
    <w:rsid w:val="0069676A"/>
    <w:rsid w:val="006A1832"/>
    <w:rsid w:val="006A581A"/>
    <w:rsid w:val="006C35A6"/>
    <w:rsid w:val="006C388A"/>
    <w:rsid w:val="006D2290"/>
    <w:rsid w:val="006D601A"/>
    <w:rsid w:val="006E2710"/>
    <w:rsid w:val="006E2F15"/>
    <w:rsid w:val="006E324E"/>
    <w:rsid w:val="006E5B66"/>
    <w:rsid w:val="006F1F4D"/>
    <w:rsid w:val="006F3AB9"/>
    <w:rsid w:val="006F4815"/>
    <w:rsid w:val="00702300"/>
    <w:rsid w:val="007045D6"/>
    <w:rsid w:val="0070784B"/>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A0D35"/>
    <w:rsid w:val="008B03E0"/>
    <w:rsid w:val="008B22EC"/>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930F0"/>
    <w:rsid w:val="00C962CF"/>
    <w:rsid w:val="00CA70D3"/>
    <w:rsid w:val="00CB3A53"/>
    <w:rsid w:val="00CB4262"/>
    <w:rsid w:val="00CC69A5"/>
    <w:rsid w:val="00CD18DB"/>
    <w:rsid w:val="00CE2E92"/>
    <w:rsid w:val="00CF0738"/>
    <w:rsid w:val="00CF2E07"/>
    <w:rsid w:val="00CF3942"/>
    <w:rsid w:val="00D028D3"/>
    <w:rsid w:val="00D02B22"/>
    <w:rsid w:val="00D062C9"/>
    <w:rsid w:val="00D129CF"/>
    <w:rsid w:val="00D16B6A"/>
    <w:rsid w:val="00D303E0"/>
    <w:rsid w:val="00D32AEC"/>
    <w:rsid w:val="00D333AA"/>
    <w:rsid w:val="00D35567"/>
    <w:rsid w:val="00D36822"/>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B0C3E"/>
    <w:rsid w:val="00EB75E1"/>
    <w:rsid w:val="00EC012C"/>
    <w:rsid w:val="00EC13F1"/>
    <w:rsid w:val="00EC2C4D"/>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4E80"/>
    <w:rsid w:val="00FA151A"/>
    <w:rsid w:val="00FA30D7"/>
    <w:rsid w:val="00FA5164"/>
    <w:rsid w:val="00FA5F5C"/>
    <w:rsid w:val="00FA6612"/>
    <w:rsid w:val="00FD0461"/>
    <w:rsid w:val="00FD1184"/>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200804_Q2 2020_DE</Description0>
    <DocumentTitle xmlns="3900a7cd-735b-4f56-a6f4-08d139dd6cc3">200804_Q2 2020_DE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documentManagement/types"/>
    <ds:schemaRef ds:uri="50f88236-7816-4a28-a198-9a124b7876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fc54ee6-4a5a-4e1c-aa1a-8ea26becada8"/>
    <ds:schemaRef ds:uri="http://www.w3.org/XML/1998/namespace"/>
    <ds:schemaRef ds:uri="http://purl.org/dc/dcmitype/"/>
  </ds:schemaRefs>
</ds:datastoreItem>
</file>

<file path=customXml/itemProps2.xml><?xml version="1.0" encoding="utf-8"?>
<ds:datastoreItem xmlns:ds="http://schemas.openxmlformats.org/officeDocument/2006/customXml" ds:itemID="{BCA7F4E8-3271-4EB9-8D18-1729400CB796}"/>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27BA597D-3129-44A2-AB94-3E12865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39EC65A3</Template>
  <TotalTime>0</TotalTime>
  <Pages>5</Pages>
  <Words>1107</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8106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Goettel, Janine</cp:lastModifiedBy>
  <cp:revision>5</cp:revision>
  <cp:lastPrinted>2020-08-03T09:00:00Z</cp:lastPrinted>
  <dcterms:created xsi:type="dcterms:W3CDTF">2020-08-03T08:58:00Z</dcterms:created>
  <dcterms:modified xsi:type="dcterms:W3CDTF">2020-08-03T15:07:00Z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