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27BECD93" w:rsidR="00E74CF9" w:rsidRDefault="001678C8" w:rsidP="000B1B97">
            <w:pPr>
              <w:pStyle w:val="M8"/>
              <w:framePr w:wrap="auto" w:vAnchor="margin" w:hAnchor="text" w:xAlign="left" w:yAlign="inline"/>
              <w:suppressOverlap w:val="0"/>
              <w:rPr>
                <w:b/>
              </w:rPr>
            </w:pPr>
            <w:r>
              <w:rPr>
                <w:sz w:val="18"/>
                <w:szCs w:val="18"/>
              </w:rPr>
              <w:t>4. März 2021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174304E1" w14:textId="77777777" w:rsidR="006A76BE" w:rsidRDefault="002C503F" w:rsidP="00077041">
      <w:pPr>
        <w:pStyle w:val="Titel"/>
        <w:rPr>
          <w:b w:val="0"/>
          <w:u w:val="single"/>
        </w:rPr>
      </w:pPr>
      <w:bookmarkStart w:id="0" w:name="_Hlk38958809"/>
      <w:r w:rsidRPr="002C503F">
        <w:rPr>
          <w:b w:val="0"/>
          <w:u w:val="single"/>
        </w:rPr>
        <w:t>Wirtschaftliche Eckdaten: 1. Januar -31. Dezember 2020/</w:t>
      </w:r>
    </w:p>
    <w:p w14:paraId="182CB2C3" w14:textId="326BA30C" w:rsidR="002C503F" w:rsidRDefault="002C503F" w:rsidP="00077041">
      <w:pPr>
        <w:pStyle w:val="Titel"/>
        <w:rPr>
          <w:b w:val="0"/>
          <w:u w:val="single"/>
        </w:rPr>
      </w:pPr>
      <w:r w:rsidRPr="002C503F">
        <w:rPr>
          <w:b w:val="0"/>
          <w:u w:val="single"/>
        </w:rPr>
        <w:t>Ausblick 2021</w:t>
      </w:r>
    </w:p>
    <w:p w14:paraId="665AC359" w14:textId="77777777" w:rsidR="006E4D53" w:rsidRPr="00A833A7" w:rsidRDefault="006E4D53" w:rsidP="00077041">
      <w:pPr>
        <w:pStyle w:val="Titel"/>
        <w:rPr>
          <w:b w:val="0"/>
          <w:u w:val="single"/>
        </w:rPr>
      </w:pPr>
    </w:p>
    <w:p w14:paraId="6BF8BFCD" w14:textId="47FC0F3F" w:rsidR="00CA3B47" w:rsidRDefault="00CA3B47" w:rsidP="00CA3B47">
      <w:pPr>
        <w:pStyle w:val="Titel"/>
      </w:pPr>
    </w:p>
    <w:p w14:paraId="2BE1C419" w14:textId="0F2CAF41" w:rsidR="0034507F" w:rsidRDefault="0034507F" w:rsidP="00CA3B47">
      <w:pPr>
        <w:pStyle w:val="Titel"/>
      </w:pPr>
      <w:r>
        <w:t>Evonik kommt gut durch die Pandemie und schaltet wieder auf Wachstum</w:t>
      </w:r>
    </w:p>
    <w:p w14:paraId="60AF53A6" w14:textId="77777777" w:rsidR="00023CAA" w:rsidRPr="00461471" w:rsidRDefault="00023CAA" w:rsidP="00023CAA">
      <w:pPr>
        <w:pStyle w:val="Titel"/>
      </w:pPr>
    </w:p>
    <w:bookmarkEnd w:id="0"/>
    <w:p w14:paraId="49A859B6" w14:textId="77777777" w:rsidR="0012236D" w:rsidRDefault="0012236D" w:rsidP="0012236D">
      <w:pPr>
        <w:numPr>
          <w:ilvl w:val="0"/>
          <w:numId w:val="32"/>
        </w:numPr>
        <w:tabs>
          <w:tab w:val="clear" w:pos="1425"/>
          <w:tab w:val="num" w:pos="340"/>
        </w:tabs>
        <w:ind w:left="340" w:right="85" w:hanging="340"/>
        <w:rPr>
          <w:rFonts w:cs="Lucida Sans Unicode"/>
          <w:sz w:val="24"/>
        </w:rPr>
      </w:pPr>
      <w:r>
        <w:rPr>
          <w:rFonts w:cs="Lucida Sans Unicode"/>
          <w:sz w:val="24"/>
        </w:rPr>
        <w:t>Prognose für 2020 erreicht: Bereinigtes EBITDA von</w:t>
      </w:r>
    </w:p>
    <w:p w14:paraId="5A8671F6" w14:textId="77777777" w:rsidR="0012236D" w:rsidRDefault="0012236D" w:rsidP="0012236D">
      <w:pPr>
        <w:ind w:left="340" w:right="85"/>
        <w:rPr>
          <w:rFonts w:cs="Lucida Sans Unicode"/>
          <w:sz w:val="24"/>
        </w:rPr>
      </w:pPr>
      <w:r>
        <w:rPr>
          <w:rFonts w:cs="Lucida Sans Unicode"/>
          <w:sz w:val="24"/>
        </w:rPr>
        <w:t>1,9 Milliarden €, Umsatz über 12 Milliarden €</w:t>
      </w:r>
    </w:p>
    <w:p w14:paraId="72CEC8D9" w14:textId="77777777" w:rsidR="0012236D" w:rsidRPr="00C01517" w:rsidRDefault="0012236D" w:rsidP="0012236D">
      <w:pPr>
        <w:numPr>
          <w:ilvl w:val="0"/>
          <w:numId w:val="32"/>
        </w:numPr>
        <w:tabs>
          <w:tab w:val="clear" w:pos="1425"/>
          <w:tab w:val="num" w:pos="340"/>
        </w:tabs>
        <w:ind w:left="340" w:right="85" w:hanging="340"/>
        <w:rPr>
          <w:rFonts w:cs="Lucida Sans Unicode"/>
          <w:sz w:val="24"/>
        </w:rPr>
      </w:pPr>
      <w:r w:rsidRPr="00C01517">
        <w:rPr>
          <w:rFonts w:cs="Lucida Sans Unicode"/>
          <w:sz w:val="24"/>
        </w:rPr>
        <w:t>Free Cash</w:t>
      </w:r>
      <w:r>
        <w:rPr>
          <w:rFonts w:cs="Lucida Sans Unicode"/>
          <w:sz w:val="24"/>
        </w:rPr>
        <w:t>f</w:t>
      </w:r>
      <w:r w:rsidRPr="00C01517">
        <w:rPr>
          <w:rFonts w:cs="Lucida Sans Unicode"/>
          <w:sz w:val="24"/>
        </w:rPr>
        <w:t>low deutlich über Vor</w:t>
      </w:r>
      <w:r>
        <w:rPr>
          <w:rFonts w:cs="Lucida Sans Unicode"/>
          <w:sz w:val="24"/>
        </w:rPr>
        <w:t>jahr</w:t>
      </w:r>
      <w:bookmarkStart w:id="1" w:name="_GoBack"/>
      <w:bookmarkEnd w:id="1"/>
    </w:p>
    <w:p w14:paraId="01FC2EE9" w14:textId="77777777" w:rsidR="0012236D" w:rsidRDefault="0012236D" w:rsidP="0012236D">
      <w:pPr>
        <w:numPr>
          <w:ilvl w:val="0"/>
          <w:numId w:val="32"/>
        </w:numPr>
        <w:tabs>
          <w:tab w:val="clear" w:pos="1425"/>
          <w:tab w:val="num" w:pos="340"/>
        </w:tabs>
        <w:ind w:left="340" w:right="85" w:hanging="340"/>
        <w:rPr>
          <w:rFonts w:cs="Lucida Sans Unicode"/>
          <w:sz w:val="24"/>
        </w:rPr>
      </w:pPr>
      <w:r w:rsidRPr="001E0445">
        <w:rPr>
          <w:rFonts w:cs="Lucida Sans Unicode"/>
          <w:sz w:val="24"/>
        </w:rPr>
        <w:t>Ausblick 202</w:t>
      </w:r>
      <w:r>
        <w:rPr>
          <w:rFonts w:cs="Lucida Sans Unicode"/>
          <w:sz w:val="24"/>
        </w:rPr>
        <w:t>1</w:t>
      </w:r>
      <w:r w:rsidRPr="001E0445">
        <w:rPr>
          <w:rFonts w:cs="Lucida Sans Unicode"/>
          <w:sz w:val="24"/>
        </w:rPr>
        <w:t xml:space="preserve">: Bereinigtes EBITDA </w:t>
      </w:r>
      <w:r>
        <w:rPr>
          <w:rFonts w:cs="Lucida Sans Unicode"/>
          <w:sz w:val="24"/>
        </w:rPr>
        <w:t>steigt auf</w:t>
      </w:r>
    </w:p>
    <w:p w14:paraId="42A060B5" w14:textId="77777777" w:rsidR="0012236D" w:rsidRPr="001148A4" w:rsidRDefault="0012236D" w:rsidP="0012236D">
      <w:pPr>
        <w:ind w:left="340" w:right="85"/>
        <w:rPr>
          <w:rFonts w:cs="Lucida Sans Unicode"/>
          <w:sz w:val="24"/>
        </w:rPr>
      </w:pPr>
      <w:r>
        <w:rPr>
          <w:rFonts w:cs="Lucida Sans Unicode"/>
          <w:sz w:val="24"/>
        </w:rPr>
        <w:t xml:space="preserve">2,0 Milliarden bis 2,3 Milliarden € </w:t>
      </w:r>
    </w:p>
    <w:p w14:paraId="0281D3D6" w14:textId="03692E0C" w:rsidR="0012236D" w:rsidRDefault="0012236D" w:rsidP="00023CAA">
      <w:pPr>
        <w:ind w:right="85"/>
        <w:rPr>
          <w:sz w:val="24"/>
        </w:rPr>
      </w:pPr>
    </w:p>
    <w:p w14:paraId="7A61F138" w14:textId="77777777" w:rsidR="00FD7EED" w:rsidRPr="00525687" w:rsidRDefault="00FD7EED" w:rsidP="00FD7EED">
      <w:r w:rsidRPr="001148A4">
        <w:rPr>
          <w:b/>
          <w:bCs/>
        </w:rPr>
        <w:t xml:space="preserve">Essen. </w:t>
      </w:r>
      <w:r w:rsidRPr="001148A4">
        <w:t xml:space="preserve">Evonik hat </w:t>
      </w:r>
      <w:r>
        <w:t xml:space="preserve">im Jahr 2020 die im Mai gesteckten Finanzziele erreicht. Produktion und Logistik wurden weltweit gesichert, sämtliche Maßnahmen zum Schutz der Belegschaft konsequent </w:t>
      </w:r>
      <w:r w:rsidRPr="00525687">
        <w:t>umgesetzt. 2021 geht der Konzern nun wieder auf Wachstumskurs.</w:t>
      </w:r>
    </w:p>
    <w:p w14:paraId="1A6FE70F" w14:textId="77777777" w:rsidR="00FD7EED" w:rsidRPr="00744610" w:rsidRDefault="00FD7EED" w:rsidP="00FD7EED"/>
    <w:p w14:paraId="51FFEBB6" w14:textId="77777777" w:rsidR="00FD7EED" w:rsidRPr="00744610" w:rsidRDefault="00FD7EED" w:rsidP="00FD7EED">
      <w:r w:rsidRPr="00744610">
        <w:t>„Wir haben den Härtetest der Pandemie bestanden“, sagt Christian</w:t>
      </w:r>
      <w:r w:rsidRPr="001148A4">
        <w:t xml:space="preserve"> Kullmann, Vorsitzender d</w:t>
      </w:r>
      <w:r>
        <w:t>es Vorstands</w:t>
      </w:r>
      <w:r w:rsidRPr="001148A4">
        <w:t xml:space="preserve">. </w:t>
      </w:r>
      <w:r>
        <w:t>„Wir haben der Krise erfolgreich getrotzt und wir haben geliefert.“</w:t>
      </w:r>
    </w:p>
    <w:p w14:paraId="620286F9" w14:textId="77777777" w:rsidR="00FD7EED" w:rsidRDefault="00FD7EED" w:rsidP="00FD7EED"/>
    <w:p w14:paraId="1600E0D7" w14:textId="77777777" w:rsidR="00FD7EED" w:rsidRDefault="00FD7EED" w:rsidP="00FD7EED">
      <w:bookmarkStart w:id="2" w:name="_Hlk64363280"/>
      <w:r>
        <w:t>Im Frühjahr 2020 gehörte Evonik zu den wenigen Unternehmen, die überhaupt eine Prognose für das Gesamtjahr abgaben.</w:t>
      </w:r>
      <w:r w:rsidRPr="001148A4">
        <w:t xml:space="preserve"> </w:t>
      </w:r>
      <w:r>
        <w:t xml:space="preserve">Mit einem </w:t>
      </w:r>
      <w:r w:rsidRPr="001148A4">
        <w:t>bereinigte</w:t>
      </w:r>
      <w:r>
        <w:t>n</w:t>
      </w:r>
      <w:r w:rsidRPr="001148A4">
        <w:t xml:space="preserve"> Ergebnis vor Zinsen, Steuern und Abschreibungen (EBITDA) </w:t>
      </w:r>
      <w:r>
        <w:t>von</w:t>
      </w:r>
      <w:r w:rsidRPr="001148A4">
        <w:t xml:space="preserve"> 1,91 M</w:t>
      </w:r>
      <w:r>
        <w:t>illiarden</w:t>
      </w:r>
      <w:r w:rsidRPr="001148A4">
        <w:t xml:space="preserve"> €</w:t>
      </w:r>
      <w:r>
        <w:t xml:space="preserve"> und einem </w:t>
      </w:r>
      <w:r w:rsidRPr="001148A4">
        <w:t xml:space="preserve">Umsatz </w:t>
      </w:r>
      <w:r>
        <w:t>von</w:t>
      </w:r>
    </w:p>
    <w:p w14:paraId="3ABE5E8A" w14:textId="77777777" w:rsidR="00FD7EED" w:rsidRPr="001148A4" w:rsidRDefault="00FD7EED" w:rsidP="00FD7EED">
      <w:r w:rsidRPr="001148A4">
        <w:t>12,2 M</w:t>
      </w:r>
      <w:r>
        <w:t>illiarden € wurde diese Prognose voll erfüllt</w:t>
      </w:r>
      <w:r w:rsidRPr="001148A4">
        <w:t>.</w:t>
      </w:r>
      <w:r>
        <w:t xml:space="preserve"> Das bereinigte EBITDA ging im Vergleich zum Vorjahr um 11 Prozent zurück, das Ergebnis der drei Wachstumsdivisionen Specialty Additives, Nutrition &amp; Care sowie Smart Materials aber lediglich um 3 Prozent. Auf diese drei Divisionen entfallen mittlerweile 95 Prozent des Ergebnisses der operativen Geschäfte. Im Vorjahr hatte Evonik ein </w:t>
      </w:r>
      <w:r w:rsidRPr="001148A4">
        <w:t>bereinigte</w:t>
      </w:r>
      <w:r>
        <w:t>s</w:t>
      </w:r>
      <w:r w:rsidRPr="001148A4">
        <w:t xml:space="preserve"> EBITDA von 2,15 M</w:t>
      </w:r>
      <w:r>
        <w:t>illiarden</w:t>
      </w:r>
      <w:r w:rsidRPr="001148A4">
        <w:t xml:space="preserve"> € und eine</w:t>
      </w:r>
      <w:r>
        <w:t>n</w:t>
      </w:r>
      <w:r w:rsidRPr="001148A4">
        <w:t xml:space="preserve"> Umsatz von</w:t>
      </w:r>
      <w:r>
        <w:t xml:space="preserve"> </w:t>
      </w:r>
      <w:r w:rsidRPr="001148A4">
        <w:t>13,1 M</w:t>
      </w:r>
      <w:r>
        <w:t>illiarden</w:t>
      </w:r>
      <w:r w:rsidRPr="001148A4">
        <w:t xml:space="preserve"> €</w:t>
      </w:r>
      <w:r>
        <w:t xml:space="preserve"> erzielt</w:t>
      </w:r>
      <w:r w:rsidRPr="001148A4">
        <w:t xml:space="preserve">. </w:t>
      </w:r>
    </w:p>
    <w:bookmarkEnd w:id="2"/>
    <w:p w14:paraId="343DA415" w14:textId="77777777" w:rsidR="00FD7EED" w:rsidRPr="001148A4" w:rsidRDefault="00FD7EED" w:rsidP="00FD7EED"/>
    <w:p w14:paraId="312B60D0" w14:textId="304901A0" w:rsidR="00FD7EED" w:rsidRDefault="00FD7EED" w:rsidP="00FD7EED">
      <w:bookmarkStart w:id="3" w:name="_Hlk64363414"/>
      <w:r>
        <w:t>„In der Krise hat sich unsere Transformation hin zu mehr Spezialchemie ausgezahlt“, sagt Kullmann.</w:t>
      </w:r>
      <w:r w:rsidRPr="001148A4">
        <w:t xml:space="preserve"> </w:t>
      </w:r>
      <w:r>
        <w:t xml:space="preserve">„Wir sind mitten in diesem Transformationsprozess, den wir konsequent weiter vorantreiben und der uns </w:t>
      </w:r>
      <w:r w:rsidRPr="001148A4">
        <w:t xml:space="preserve">2021 </w:t>
      </w:r>
      <w:r>
        <w:t>und darüber hinaus neues W</w:t>
      </w:r>
      <w:r w:rsidRPr="001148A4">
        <w:t>achstum</w:t>
      </w:r>
      <w:r>
        <w:t xml:space="preserve"> bescheren wird</w:t>
      </w:r>
      <w:r w:rsidRPr="001148A4">
        <w:t>.</w:t>
      </w:r>
      <w:r>
        <w:t xml:space="preserve">“ </w:t>
      </w:r>
    </w:p>
    <w:bookmarkEnd w:id="3"/>
    <w:p w14:paraId="682DCEB2" w14:textId="77777777" w:rsidR="00FD7EED" w:rsidRDefault="00FD7EED" w:rsidP="00FD7EED">
      <w:r w:rsidRPr="00654622">
        <w:lastRenderedPageBreak/>
        <w:t xml:space="preserve">Zu den Wachstumsprojekten gehört die Ausweitung der Produktion von Speziallipiden, die für mRNA-basierte </w:t>
      </w:r>
      <w:r>
        <w:t>Impfstoffe gegen</w:t>
      </w:r>
    </w:p>
    <w:p w14:paraId="405F7947" w14:textId="77777777" w:rsidR="00FD7EED" w:rsidRDefault="00FD7EED" w:rsidP="00FD7EED">
      <w:r w:rsidRPr="00654622">
        <w:t>COVID-19</w:t>
      </w:r>
      <w:r>
        <w:t xml:space="preserve"> benötigt werden.</w:t>
      </w:r>
      <w:r w:rsidRPr="00654622">
        <w:t xml:space="preserve"> </w:t>
      </w:r>
      <w:r>
        <w:t>Neben der Produktion in den USA</w:t>
      </w:r>
    </w:p>
    <w:p w14:paraId="29BC60E0" w14:textId="77777777" w:rsidR="00FD7EED" w:rsidRDefault="00FD7EED" w:rsidP="00FD7EED">
      <w:r>
        <w:t xml:space="preserve">und in Kanada baut Evonik eigene Produktionsanlagen an den deutschen Standorten Hanau und Dossenheim weiter aus, die bereits im zweiten Halbjahr 2021 Lipide in kommerziellen Mengen herstellen werden. Planmäßig voran geht es auch in Marl, wo der neue </w:t>
      </w:r>
      <w:r w:rsidRPr="002405D8">
        <w:t>Anlage</w:t>
      </w:r>
      <w:r>
        <w:t>n</w:t>
      </w:r>
      <w:r w:rsidRPr="002405D8">
        <w:t xml:space="preserve">komplex für Polyamid 12, das </w:t>
      </w:r>
      <w:r>
        <w:t>unter anderem im</w:t>
      </w:r>
    </w:p>
    <w:p w14:paraId="3ADD412D" w14:textId="77777777" w:rsidR="00FD7EED" w:rsidRDefault="00FD7EED" w:rsidP="00FD7EED">
      <w:r w:rsidRPr="00654622">
        <w:t>3D-Druck eingesetzt</w:t>
      </w:r>
      <w:r>
        <w:t xml:space="preserve"> wird, im laufenden Jahr fertiggestellt wird.</w:t>
      </w:r>
    </w:p>
    <w:p w14:paraId="551A1FFB" w14:textId="77777777" w:rsidR="00FD7EED" w:rsidRDefault="00FD7EED" w:rsidP="00FD7EED"/>
    <w:p w14:paraId="6649C8B5" w14:textId="77777777" w:rsidR="00FD7EED" w:rsidRPr="00744610" w:rsidRDefault="00FD7EED" w:rsidP="00FD7EED">
      <w:r w:rsidRPr="00744610">
        <w:t>Rund 35 Prozent des Umsatzes erwirtschaftet Evonik heute mit Produkten, die einen – im Vergleich mit dem Wettbewerb – überlegenen Nachhaltigkeitsnutzen beim Kunden aufweisen. Im Bereich der Zukunftstechnologien werden diese so genannten Next Generation Solutions besonders dringend benötigt. Deren Anteil am Gesamtumsatz wird Evonik in den kommenden Jahren stetig weiter ausbauen.</w:t>
      </w:r>
    </w:p>
    <w:p w14:paraId="37A5B081" w14:textId="77777777" w:rsidR="00FD7EED" w:rsidRPr="001148A4" w:rsidRDefault="00FD7EED" w:rsidP="00FD7EED"/>
    <w:p w14:paraId="6A711C27" w14:textId="77777777" w:rsidR="00FD7EED" w:rsidRDefault="00FD7EED" w:rsidP="00FD7EED">
      <w:r w:rsidRPr="0047688B">
        <w:t xml:space="preserve">Für 2021 rechnet Evonik mit einem Anstieg des bereinigten EBITDA auf 2,0 </w:t>
      </w:r>
      <w:r>
        <w:t xml:space="preserve">Milliarden </w:t>
      </w:r>
      <w:r w:rsidRPr="0047688B">
        <w:t>bis 2,3 M</w:t>
      </w:r>
      <w:r>
        <w:t>illiarden</w:t>
      </w:r>
      <w:r w:rsidRPr="0047688B">
        <w:t xml:space="preserve"> €. Der Umsatz soll zwischen</w:t>
      </w:r>
    </w:p>
    <w:p w14:paraId="1051F576" w14:textId="77777777" w:rsidR="00FD7EED" w:rsidRPr="00744610" w:rsidRDefault="00FD7EED" w:rsidP="00FD7EED">
      <w:r w:rsidRPr="0047688B">
        <w:t xml:space="preserve">12 </w:t>
      </w:r>
      <w:r>
        <w:t xml:space="preserve">Milliarden </w:t>
      </w:r>
      <w:r w:rsidRPr="0047688B">
        <w:t xml:space="preserve">und 14 </w:t>
      </w:r>
      <w:r w:rsidRPr="00F07CEF">
        <w:rPr>
          <w:color w:val="000000" w:themeColor="text1"/>
        </w:rPr>
        <w:t xml:space="preserve">Milliarden € liegen, die Cash Conversion Rate bei rund 40 Prozent. Für das erste Quartal </w:t>
      </w:r>
      <w:r>
        <w:rPr>
          <w:color w:val="000000" w:themeColor="text1"/>
        </w:rPr>
        <w:t xml:space="preserve">wird </w:t>
      </w:r>
      <w:r w:rsidRPr="00F07CEF">
        <w:rPr>
          <w:color w:val="000000" w:themeColor="text1"/>
        </w:rPr>
        <w:t>ein bereinigtes EBITDA von mindestens 550 Millionen €</w:t>
      </w:r>
      <w:r>
        <w:rPr>
          <w:color w:val="000000" w:themeColor="text1"/>
        </w:rPr>
        <w:t xml:space="preserve"> erwartet</w:t>
      </w:r>
      <w:r w:rsidRPr="00F07CEF">
        <w:rPr>
          <w:color w:val="000000" w:themeColor="text1"/>
        </w:rPr>
        <w:t>.</w:t>
      </w:r>
    </w:p>
    <w:p w14:paraId="33427BEC" w14:textId="77777777" w:rsidR="00FD7EED" w:rsidRPr="00744610" w:rsidRDefault="00FD7EED" w:rsidP="00FD7EED"/>
    <w:p w14:paraId="1898CE39" w14:textId="77777777" w:rsidR="00FD7EED" w:rsidRDefault="00FD7EED" w:rsidP="00FD7EED">
      <w:r>
        <w:t xml:space="preserve">Im vergangenen Jahr hatte Evonik den </w:t>
      </w:r>
      <w:r w:rsidRPr="0047688B">
        <w:t>Free Cashflow</w:t>
      </w:r>
      <w:r>
        <w:t xml:space="preserve"> auf</w:t>
      </w:r>
    </w:p>
    <w:p w14:paraId="392C311B" w14:textId="77777777" w:rsidR="00FD7EED" w:rsidRPr="00744610" w:rsidRDefault="00FD7EED" w:rsidP="00FD7EED">
      <w:r>
        <w:t xml:space="preserve">780 Millionen € und die </w:t>
      </w:r>
      <w:r w:rsidRPr="00744610">
        <w:t>Cash Conversion Rate auf 40 Prozent gesteigert. „</w:t>
      </w:r>
      <w:r>
        <w:t>U</w:t>
      </w:r>
      <w:r w:rsidRPr="00A82B79">
        <w:t xml:space="preserve">nsere Prognose für den Free Cashflow </w:t>
      </w:r>
      <w:r>
        <w:t>haben wir im Laufe des Jahres zweimal angehoben und am Ende sogar noch übertroffen</w:t>
      </w:r>
      <w:r w:rsidRPr="00744610">
        <w:t>“, sagt Finanzvorstand Ute Wolf. „Unser Ausblick zeigt in eine klare Richtung: Für 2021 erwarten wir ein steigendes Ergebnis, eine anhaltend hohe Cash Conversion Rate und somit einen steigenden Free Cashflow.“</w:t>
      </w:r>
    </w:p>
    <w:p w14:paraId="6F64AED3" w14:textId="77777777" w:rsidR="00FD7EED" w:rsidRPr="00744610" w:rsidRDefault="00FD7EED" w:rsidP="00FD7EED"/>
    <w:p w14:paraId="0493C293" w14:textId="77777777" w:rsidR="00FD7EED" w:rsidRPr="00744610" w:rsidRDefault="00FD7EED" w:rsidP="00FD7EED">
      <w:r w:rsidRPr="00744610">
        <w:t>Der Jahresüberschuss ging 2020 auf 465 Millionen € zurück.</w:t>
      </w:r>
    </w:p>
    <w:p w14:paraId="339C46DD" w14:textId="77777777" w:rsidR="00FD7EED" w:rsidRPr="00744610" w:rsidRDefault="00FD7EED" w:rsidP="00FD7EED">
      <w:r w:rsidRPr="00744610">
        <w:t>2019 hatte er 2,1 Milliarden € betragen. Dort waren allerdings auch die Erlöse aus dem Verkauf des Methacrylatgeschäfts enthalten.</w:t>
      </w:r>
    </w:p>
    <w:p w14:paraId="0D574E60" w14:textId="77777777" w:rsidR="00FD7EED" w:rsidRDefault="00FD7EED" w:rsidP="00FD7EED"/>
    <w:p w14:paraId="42AF5C34" w14:textId="77777777" w:rsidR="00F57266" w:rsidRDefault="00F57266">
      <w:pPr>
        <w:spacing w:line="240" w:lineRule="auto"/>
      </w:pPr>
      <w:r>
        <w:br w:type="page"/>
      </w:r>
    </w:p>
    <w:p w14:paraId="6966744A" w14:textId="688147E0" w:rsidR="00FD7EED" w:rsidRDefault="00FD7EED" w:rsidP="00FD7EED">
      <w:pPr>
        <w:rPr>
          <w:color w:val="000000" w:themeColor="text1"/>
        </w:rPr>
      </w:pPr>
      <w:r w:rsidRPr="00744610">
        <w:lastRenderedPageBreak/>
        <w:t>Bei der Dividende setzt Evonik auf Kontinuität. Vorstand</w:t>
      </w:r>
      <w:r w:rsidRPr="00347F4B">
        <w:rPr>
          <w:color w:val="000000" w:themeColor="text1"/>
        </w:rPr>
        <w:t xml:space="preserve"> und Aufsichtsrat schlagen der Hauptversammlung am 2. Juni 2021 eine Dividende von 1,15 € je Aktie vor. Gemessen am Schlusskurs der Aktie zum Jahresende 2020 ergibt sich daraus eine Dividendenrendite von </w:t>
      </w:r>
      <w:r>
        <w:rPr>
          <w:color w:val="000000" w:themeColor="text1"/>
        </w:rPr>
        <w:t>4</w:t>
      </w:r>
      <w:r w:rsidRPr="00347F4B">
        <w:rPr>
          <w:color w:val="000000" w:themeColor="text1"/>
        </w:rPr>
        <w:t>,</w:t>
      </w:r>
      <w:r>
        <w:rPr>
          <w:color w:val="000000" w:themeColor="text1"/>
        </w:rPr>
        <w:t>3</w:t>
      </w:r>
      <w:r w:rsidRPr="00347F4B">
        <w:rPr>
          <w:color w:val="000000" w:themeColor="text1"/>
        </w:rPr>
        <w:t xml:space="preserve"> Prozent.</w:t>
      </w:r>
    </w:p>
    <w:p w14:paraId="1A883CA9" w14:textId="77777777" w:rsidR="00FD7EED" w:rsidRDefault="00FD7EED" w:rsidP="00FD7EED">
      <w:pPr>
        <w:spacing w:line="240" w:lineRule="auto"/>
        <w:rPr>
          <w:b/>
          <w:bCs/>
        </w:rPr>
      </w:pPr>
    </w:p>
    <w:p w14:paraId="778BE9F2" w14:textId="77777777" w:rsidR="00FD7EED" w:rsidRPr="007C3633" w:rsidRDefault="00FD7EED" w:rsidP="00FD7EED">
      <w:pPr>
        <w:spacing w:line="240" w:lineRule="auto"/>
        <w:rPr>
          <w:color w:val="000000" w:themeColor="text1"/>
        </w:rPr>
      </w:pPr>
      <w:r w:rsidRPr="003B56D8">
        <w:rPr>
          <w:b/>
          <w:bCs/>
        </w:rPr>
        <w:t>Entwicklung der Divisionen</w:t>
      </w:r>
    </w:p>
    <w:p w14:paraId="4D9ADEDA" w14:textId="77777777" w:rsidR="00FD7EED" w:rsidRPr="003B56D8" w:rsidRDefault="00FD7EED" w:rsidP="00FD7EED">
      <w:pPr>
        <w:rPr>
          <w:b/>
          <w:bCs/>
        </w:rPr>
      </w:pPr>
    </w:p>
    <w:p w14:paraId="49642770" w14:textId="77777777" w:rsidR="00FD7EED" w:rsidRDefault="00FD7EED" w:rsidP="00FD7EED">
      <w:r w:rsidRPr="003B56D8">
        <w:rPr>
          <w:b/>
          <w:bCs/>
        </w:rPr>
        <w:t>Specialty Additives:</w:t>
      </w:r>
      <w:r w:rsidRPr="003B56D8">
        <w:t xml:space="preserve"> </w:t>
      </w:r>
      <w:r>
        <w:t xml:space="preserve">Der Umsatz der Division verringerte sich 2020 um 5 Prozent auf 3,23 Milliarden €. </w:t>
      </w:r>
      <w:bookmarkStart w:id="4" w:name="_Hlk54078883"/>
      <w:r>
        <w:t xml:space="preserve">Aufgrund der angespannten wirtschaftlichen Lage gab die Nachfrage nach Additiven für die Automobil- und Coatings-Industrien zunächst deutlich nach, zeigte jedoch eine klare Erholung zum Jahresende. Dagegen verzeichneten die Additive für Produkte in der Bauwirtschaft und erneuerbaren Energien im gesamten Jahresverlauf eine robuste Nachfrage. Auch die Nachfrage nach langlebigen Wirtschaftsgütern erholte sich nach einem Rückgang zu Beginn des Jahres wieder; davon </w:t>
      </w:r>
      <w:r w:rsidRPr="00C84013">
        <w:t>konnten</w:t>
      </w:r>
      <w:r>
        <w:t xml:space="preserve"> die</w:t>
      </w:r>
      <w:r w:rsidRPr="00C84013">
        <w:t xml:space="preserve"> Additive für Polyurethanschäume, etwa in Matratzen oder</w:t>
      </w:r>
      <w:r>
        <w:t xml:space="preserve"> K</w:t>
      </w:r>
      <w:r w:rsidRPr="00C84013">
        <w:t xml:space="preserve">ühlschränken, profitieren. </w:t>
      </w:r>
      <w:r w:rsidRPr="003B56D8">
        <w:t xml:space="preserve">Das bereinigte EBITDA </w:t>
      </w:r>
      <w:r>
        <w:t>ging</w:t>
      </w:r>
      <w:r w:rsidRPr="003B56D8">
        <w:t xml:space="preserve"> </w:t>
      </w:r>
      <w:r>
        <w:t>um</w:t>
      </w:r>
    </w:p>
    <w:p w14:paraId="2249D027" w14:textId="77777777" w:rsidR="00FD7EED" w:rsidRPr="00C84013" w:rsidRDefault="00FD7EED" w:rsidP="00FD7EED">
      <w:r>
        <w:t>3 Prozent</w:t>
      </w:r>
      <w:r w:rsidRPr="003B56D8">
        <w:t xml:space="preserve"> </w:t>
      </w:r>
      <w:r>
        <w:t xml:space="preserve">auf 857 Millionen </w:t>
      </w:r>
      <w:r w:rsidRPr="003B56D8">
        <w:t>€</w:t>
      </w:r>
      <w:r>
        <w:t xml:space="preserve"> zurück.</w:t>
      </w:r>
    </w:p>
    <w:bookmarkEnd w:id="4"/>
    <w:p w14:paraId="04C32131" w14:textId="77777777" w:rsidR="00FD7EED" w:rsidRPr="003B56D8" w:rsidRDefault="00FD7EED" w:rsidP="00FD7EED"/>
    <w:p w14:paraId="4CDD110B" w14:textId="77777777" w:rsidR="00FD7EED" w:rsidRPr="00C4119A" w:rsidRDefault="00FD7EED" w:rsidP="00FD7EED">
      <w:r w:rsidRPr="003B56D8">
        <w:rPr>
          <w:b/>
          <w:bCs/>
        </w:rPr>
        <w:t>Nutrition &amp; Care:</w:t>
      </w:r>
      <w:r w:rsidRPr="00E836BC">
        <w:t xml:space="preserve"> </w:t>
      </w:r>
      <w:r w:rsidRPr="00C4119A">
        <w:t xml:space="preserve">Der Umsatz </w:t>
      </w:r>
      <w:r>
        <w:t xml:space="preserve">bei Nutrition &amp; Care </w:t>
      </w:r>
      <w:r w:rsidRPr="00C4119A">
        <w:t xml:space="preserve">stieg </w:t>
      </w:r>
      <w:r>
        <w:t xml:space="preserve">2020 </w:t>
      </w:r>
      <w:r w:rsidRPr="00C4119A">
        <w:t>um 2 Prozent auf</w:t>
      </w:r>
      <w:r>
        <w:t xml:space="preserve"> </w:t>
      </w:r>
      <w:r w:rsidRPr="00C4119A">
        <w:t>2</w:t>
      </w:r>
      <w:r>
        <w:t>,</w:t>
      </w:r>
      <w:r w:rsidRPr="00C4119A">
        <w:t>99 Milli</w:t>
      </w:r>
      <w:r>
        <w:t>arden</w:t>
      </w:r>
      <w:r w:rsidRPr="00C4119A">
        <w:t xml:space="preserve"> €. Im Bereich Animal Nutrition erwirtschafteten die essenziellen Aminosäuren einen </w:t>
      </w:r>
      <w:r w:rsidRPr="002405D8">
        <w:t xml:space="preserve">über dem </w:t>
      </w:r>
      <w:r w:rsidRPr="00C4119A">
        <w:t>Vorjahr liegenden Umsatz. Im Methioningeschäft konnte</w:t>
      </w:r>
      <w:r>
        <w:t xml:space="preserve">n </w:t>
      </w:r>
      <w:r w:rsidRPr="00C4119A">
        <w:t xml:space="preserve">die Absatzmengen bei weltweit höherer Nachfrage </w:t>
      </w:r>
      <w:r>
        <w:t>ge</w:t>
      </w:r>
      <w:r w:rsidRPr="00C4119A">
        <w:t>steiger</w:t>
      </w:r>
      <w:r>
        <w:t>t werden</w:t>
      </w:r>
      <w:r w:rsidRPr="00C4119A">
        <w:t xml:space="preserve">. Die Verkaufspreise waren insgesamt stabil in der zweiten Jahreshälfte. Die Nachfrage nach Produkten für den Gesundheits- und Pflegebereich aus dem Bereich Health &amp; Care zeigte sich ebenfalls erfreulich. Insbesondere Active Ingredients für kosmetische Anwendungen sowie Pharmapolymere zeigten eine positive Entwicklung. </w:t>
      </w:r>
      <w:r>
        <w:t xml:space="preserve">Das bereinigte EBITDA stieg insbesondere dank der verbesserten </w:t>
      </w:r>
      <w:r w:rsidRPr="002405D8">
        <w:t xml:space="preserve">Verkaufspreise sowie dem erfolgreichen </w:t>
      </w:r>
      <w:r>
        <w:t>Kostenmanagement stark um 21 Prozent auf 560 Millionen €.</w:t>
      </w:r>
    </w:p>
    <w:p w14:paraId="57E3AE55" w14:textId="77777777" w:rsidR="00FD7EED" w:rsidRPr="003B56D8" w:rsidRDefault="00FD7EED" w:rsidP="00FD7EED"/>
    <w:p w14:paraId="54A3DCD4" w14:textId="77777777" w:rsidR="00FD7EED" w:rsidRPr="00BF07D4" w:rsidRDefault="00FD7EED" w:rsidP="00FD7EED">
      <w:r w:rsidRPr="003B56D8">
        <w:rPr>
          <w:b/>
          <w:bCs/>
        </w:rPr>
        <w:t>Smart Materials:</w:t>
      </w:r>
      <w:r w:rsidRPr="003B56D8">
        <w:t xml:space="preserve"> </w:t>
      </w:r>
      <w:r w:rsidRPr="00BF07D4">
        <w:t xml:space="preserve">Der Umsatz </w:t>
      </w:r>
      <w:r>
        <w:t xml:space="preserve">der Division </w:t>
      </w:r>
      <w:r w:rsidRPr="00BF07D4">
        <w:t xml:space="preserve">ging </w:t>
      </w:r>
      <w:r>
        <w:t xml:space="preserve">2020 </w:t>
      </w:r>
      <w:r w:rsidRPr="00BF07D4">
        <w:t>um 4 Prozent auf 3</w:t>
      </w:r>
      <w:r>
        <w:t>,</w:t>
      </w:r>
      <w:r w:rsidRPr="00BF07D4">
        <w:t>2</w:t>
      </w:r>
      <w:r>
        <w:t>4</w:t>
      </w:r>
      <w:r w:rsidRPr="00BF07D4">
        <w:t> Mill</w:t>
      </w:r>
      <w:r>
        <w:t>iarden</w:t>
      </w:r>
      <w:r w:rsidRPr="00BF07D4">
        <w:t xml:space="preserve"> € zurück. </w:t>
      </w:r>
      <w:r>
        <w:t>Die</w:t>
      </w:r>
      <w:r w:rsidRPr="00BF07D4">
        <w:t xml:space="preserve"> Geschäfte waren insbesondere im zweiten und dritten Quartal von der weltweiten konjunkturellen Abschwächung betroffen, konnten aber </w:t>
      </w:r>
      <w:r>
        <w:t xml:space="preserve">im vierten Quartal das Vorjahresniveau </w:t>
      </w:r>
      <w:r w:rsidRPr="00BF07D4">
        <w:t xml:space="preserve">wieder </w:t>
      </w:r>
      <w:r>
        <w:t>erreich</w:t>
      </w:r>
      <w:r w:rsidRPr="00BF07D4">
        <w:t xml:space="preserve">en. Insgesamt führte dies aber zu </w:t>
      </w:r>
      <w:r w:rsidRPr="00BF07D4">
        <w:lastRenderedPageBreak/>
        <w:t xml:space="preserve">einem spürbaren Mengenrückgang. Dies betraf im Bereich Polymers insbesondere die Hochleistungskunststoffe für den Automobilbereich. Gleiches gilt im Bereich Inorganics für Silica, </w:t>
      </w:r>
      <w:r>
        <w:t>di</w:t>
      </w:r>
      <w:r w:rsidRPr="00BF07D4">
        <w:t xml:space="preserve">e in der Reifenindustrie eingesetzt werden. Deutlich robuster zeigte sich die Nachfrage mit Produkten für den Hygiene- und Pflegebereich sowie für Umweltanwendungen. </w:t>
      </w:r>
      <w:r>
        <w:t xml:space="preserve">Hier wirkte sich der starke Ergebnisbeitrag von PeroxyChem positiv aus, der erstmals einbezogen wurde. </w:t>
      </w:r>
      <w:r w:rsidRPr="00BF07D4">
        <w:t>Das bereinigte EBITDA ging um 19 Prozent auf 529 Millionen € zurück</w:t>
      </w:r>
      <w:r>
        <w:t>.</w:t>
      </w:r>
    </w:p>
    <w:p w14:paraId="2D5B84B6" w14:textId="77777777" w:rsidR="00FD7EED" w:rsidRDefault="00FD7EED" w:rsidP="00FD7EED">
      <w:pPr>
        <w:rPr>
          <w:b/>
          <w:bCs/>
        </w:rPr>
      </w:pPr>
    </w:p>
    <w:p w14:paraId="2AFF0FD6" w14:textId="77777777" w:rsidR="00FD7EED" w:rsidRDefault="00FD7EED" w:rsidP="00FD7EED">
      <w:r w:rsidRPr="003B56D8">
        <w:rPr>
          <w:b/>
          <w:bCs/>
        </w:rPr>
        <w:t>Performance Materials:</w:t>
      </w:r>
      <w:r w:rsidRPr="003B56D8">
        <w:t xml:space="preserve"> </w:t>
      </w:r>
      <w:r>
        <w:t>D</w:t>
      </w:r>
      <w:r w:rsidRPr="00BF07D4">
        <w:t xml:space="preserve">er </w:t>
      </w:r>
      <w:r w:rsidRPr="002405D8">
        <w:t xml:space="preserve">Umsatz der Division ging </w:t>
      </w:r>
      <w:r>
        <w:t xml:space="preserve">2020 </w:t>
      </w:r>
      <w:r w:rsidRPr="00BF07D4">
        <w:t>um 25 Prozent auf 1</w:t>
      </w:r>
      <w:r>
        <w:t>,</w:t>
      </w:r>
      <w:r w:rsidRPr="00BF07D4">
        <w:t>98 Milli</w:t>
      </w:r>
      <w:r>
        <w:t>arden</w:t>
      </w:r>
      <w:r w:rsidRPr="00BF07D4">
        <w:t xml:space="preserve"> € zurück. </w:t>
      </w:r>
      <w:bookmarkStart w:id="5" w:name="_Hlk38621556"/>
      <w:bookmarkStart w:id="6" w:name="_Hlk62849744"/>
      <w:r w:rsidRPr="00BF07D4">
        <w:t xml:space="preserve">Der Umsatz mit Produkten des C4-Verbunds verringerte sich infolge der rückläufigen Nachfrage insbesondere aus der Automobil- und Kraftstoffindustrie. </w:t>
      </w:r>
      <w:bookmarkEnd w:id="5"/>
      <w:r w:rsidRPr="00BF07D4">
        <w:t>Im Geschäft mit Superabsorbern wirkte sich die zwar steigende, aber weiterhin unterdurchschnittliche</w:t>
      </w:r>
      <w:r>
        <w:t xml:space="preserve"> </w:t>
      </w:r>
      <w:r w:rsidRPr="00BF07D4">
        <w:t>Industrieauslastung belastend aus.</w:t>
      </w:r>
      <w:bookmarkEnd w:id="6"/>
      <w:r>
        <w:t xml:space="preserve"> </w:t>
      </w:r>
      <w:r w:rsidRPr="00B31286">
        <w:t xml:space="preserve">Das bereinigte EBITDA ging um 65 Prozent auf 88 Millionen € zurück. </w:t>
      </w:r>
    </w:p>
    <w:p w14:paraId="75183323" w14:textId="3750B6B1" w:rsidR="00FD7EED" w:rsidRDefault="00FD7EED" w:rsidP="00023CAA">
      <w:pPr>
        <w:ind w:right="85"/>
        <w:rPr>
          <w:sz w:val="24"/>
        </w:rPr>
      </w:pPr>
    </w:p>
    <w:p w14:paraId="2E7D6ABC" w14:textId="1C747E3F" w:rsidR="00D63C4D" w:rsidRDefault="00D63C4D" w:rsidP="00023CAA">
      <w:pPr>
        <w:ind w:right="85"/>
        <w:rPr>
          <w:sz w:val="24"/>
        </w:rPr>
      </w:pPr>
    </w:p>
    <w:p w14:paraId="05452704" w14:textId="77777777" w:rsidR="00D63C4D" w:rsidRDefault="00D63C4D" w:rsidP="00023CAA">
      <w:pPr>
        <w:ind w:right="85"/>
        <w:rPr>
          <w:sz w:val="24"/>
        </w:rPr>
      </w:pPr>
    </w:p>
    <w:tbl>
      <w:tblPr>
        <w:tblW w:w="0" w:type="dxa"/>
        <w:tblLayout w:type="fixed"/>
        <w:tblCellMar>
          <w:left w:w="0" w:type="dxa"/>
          <w:right w:w="0" w:type="dxa"/>
        </w:tblCellMar>
        <w:tblLook w:val="04A0" w:firstRow="1" w:lastRow="0" w:firstColumn="1" w:lastColumn="0" w:noHBand="0" w:noVBand="1"/>
        <w:tblCaption w:val="Tabelle: Pressemitteilung deutsch!outarea_ergebnis"/>
        <w:tblDescription w:val="SNEID_d49c95474e6a404192dd0c33ac7540f7"/>
      </w:tblPr>
      <w:tblGrid>
        <w:gridCol w:w="2914"/>
        <w:gridCol w:w="119"/>
        <w:gridCol w:w="1021"/>
        <w:gridCol w:w="119"/>
        <w:gridCol w:w="1021"/>
        <w:gridCol w:w="119"/>
        <w:gridCol w:w="1021"/>
        <w:gridCol w:w="119"/>
        <w:gridCol w:w="1021"/>
        <w:gridCol w:w="119"/>
        <w:gridCol w:w="1021"/>
        <w:gridCol w:w="119"/>
        <w:gridCol w:w="1021"/>
      </w:tblGrid>
      <w:tr w:rsidR="00D63C4D" w14:paraId="04EC97FA" w14:textId="77777777" w:rsidTr="00A669A4">
        <w:tc>
          <w:tcPr>
            <w:tcW w:w="2914" w:type="dxa"/>
            <w:vAlign w:val="bottom"/>
          </w:tcPr>
          <w:p w14:paraId="103B2DE6" w14:textId="77777777" w:rsidR="00D63C4D" w:rsidRDefault="00D63C4D" w:rsidP="00A669A4">
            <w:pPr>
              <w:pStyle w:val="TTitleText"/>
            </w:pPr>
            <w:bookmarkStart w:id="7" w:name="SNEID_d49c95474e6a404192dd0c33ac7540f7"/>
            <w:bookmarkStart w:id="8" w:name="SNAMD_a5c524cad7ee48cda0215d34af017d7c"/>
            <w:r>
              <w:t>Ergebnisrechnung im Überblick</w:t>
            </w:r>
          </w:p>
        </w:tc>
        <w:tc>
          <w:tcPr>
            <w:tcW w:w="119" w:type="dxa"/>
            <w:vAlign w:val="bottom"/>
          </w:tcPr>
          <w:p w14:paraId="495C93B1" w14:textId="77777777" w:rsidR="00D63C4D" w:rsidRDefault="00D63C4D" w:rsidP="00A669A4">
            <w:pPr>
              <w:pStyle w:val="TTitleText"/>
            </w:pPr>
          </w:p>
        </w:tc>
        <w:tc>
          <w:tcPr>
            <w:tcW w:w="1021" w:type="dxa"/>
            <w:vAlign w:val="bottom"/>
          </w:tcPr>
          <w:p w14:paraId="7F9ABD8C" w14:textId="77777777" w:rsidR="00D63C4D" w:rsidRDefault="00D63C4D" w:rsidP="00A669A4">
            <w:pPr>
              <w:pStyle w:val="TTitleText"/>
            </w:pPr>
          </w:p>
        </w:tc>
        <w:tc>
          <w:tcPr>
            <w:tcW w:w="119" w:type="dxa"/>
            <w:vAlign w:val="bottom"/>
          </w:tcPr>
          <w:p w14:paraId="6E66924D" w14:textId="77777777" w:rsidR="00D63C4D" w:rsidRDefault="00D63C4D" w:rsidP="00A669A4">
            <w:pPr>
              <w:pStyle w:val="TTitleText"/>
            </w:pPr>
          </w:p>
        </w:tc>
        <w:tc>
          <w:tcPr>
            <w:tcW w:w="1021" w:type="dxa"/>
            <w:vAlign w:val="bottom"/>
          </w:tcPr>
          <w:p w14:paraId="70078A48" w14:textId="77777777" w:rsidR="00D63C4D" w:rsidRDefault="00D63C4D" w:rsidP="00A669A4">
            <w:pPr>
              <w:pStyle w:val="TTitleText"/>
            </w:pPr>
          </w:p>
        </w:tc>
        <w:tc>
          <w:tcPr>
            <w:tcW w:w="119" w:type="dxa"/>
            <w:vAlign w:val="bottom"/>
          </w:tcPr>
          <w:p w14:paraId="6C50E52A" w14:textId="77777777" w:rsidR="00D63C4D" w:rsidRDefault="00D63C4D" w:rsidP="00A669A4">
            <w:pPr>
              <w:pStyle w:val="TTitleText"/>
            </w:pPr>
          </w:p>
        </w:tc>
        <w:tc>
          <w:tcPr>
            <w:tcW w:w="1021" w:type="dxa"/>
            <w:vAlign w:val="bottom"/>
          </w:tcPr>
          <w:p w14:paraId="76746395" w14:textId="77777777" w:rsidR="00D63C4D" w:rsidRDefault="00D63C4D" w:rsidP="00A669A4">
            <w:pPr>
              <w:pStyle w:val="TTitleText"/>
            </w:pPr>
          </w:p>
        </w:tc>
        <w:tc>
          <w:tcPr>
            <w:tcW w:w="119" w:type="dxa"/>
            <w:vAlign w:val="bottom"/>
          </w:tcPr>
          <w:p w14:paraId="6A1D378C" w14:textId="77777777" w:rsidR="00D63C4D" w:rsidRDefault="00D63C4D" w:rsidP="00A669A4">
            <w:pPr>
              <w:pStyle w:val="TTitleText"/>
            </w:pPr>
          </w:p>
        </w:tc>
        <w:tc>
          <w:tcPr>
            <w:tcW w:w="1021" w:type="dxa"/>
            <w:vAlign w:val="bottom"/>
          </w:tcPr>
          <w:p w14:paraId="7DE8EFC4" w14:textId="77777777" w:rsidR="00D63C4D" w:rsidRDefault="00D63C4D" w:rsidP="00A669A4">
            <w:pPr>
              <w:pStyle w:val="TTitleText"/>
            </w:pPr>
          </w:p>
        </w:tc>
        <w:tc>
          <w:tcPr>
            <w:tcW w:w="119" w:type="dxa"/>
            <w:vAlign w:val="bottom"/>
          </w:tcPr>
          <w:p w14:paraId="6C432058" w14:textId="77777777" w:rsidR="00D63C4D" w:rsidRDefault="00D63C4D" w:rsidP="00A669A4">
            <w:pPr>
              <w:pStyle w:val="TTitleText"/>
            </w:pPr>
          </w:p>
        </w:tc>
        <w:tc>
          <w:tcPr>
            <w:tcW w:w="1021" w:type="dxa"/>
            <w:vAlign w:val="bottom"/>
          </w:tcPr>
          <w:p w14:paraId="663CD0C5" w14:textId="77777777" w:rsidR="00D63C4D" w:rsidRDefault="00D63C4D" w:rsidP="00A669A4">
            <w:pPr>
              <w:pStyle w:val="TTitleText"/>
            </w:pPr>
          </w:p>
        </w:tc>
        <w:tc>
          <w:tcPr>
            <w:tcW w:w="119" w:type="dxa"/>
            <w:vAlign w:val="bottom"/>
          </w:tcPr>
          <w:p w14:paraId="4621F8B2" w14:textId="77777777" w:rsidR="00D63C4D" w:rsidRDefault="00D63C4D" w:rsidP="00A669A4">
            <w:pPr>
              <w:pStyle w:val="TTitleText"/>
            </w:pPr>
          </w:p>
        </w:tc>
        <w:tc>
          <w:tcPr>
            <w:tcW w:w="1021" w:type="dxa"/>
            <w:vAlign w:val="bottom"/>
          </w:tcPr>
          <w:p w14:paraId="204EAA6B" w14:textId="77777777" w:rsidR="00D63C4D" w:rsidRDefault="00D63C4D" w:rsidP="00A669A4">
            <w:pPr>
              <w:pStyle w:val="TTitleText"/>
            </w:pPr>
          </w:p>
        </w:tc>
      </w:tr>
      <w:tr w:rsidR="00D63C4D" w14:paraId="2EFF6CF8" w14:textId="77777777" w:rsidTr="00A669A4">
        <w:tc>
          <w:tcPr>
            <w:tcW w:w="2914" w:type="dxa"/>
            <w:tcBorders>
              <w:top w:val="single" w:sz="8" w:space="0" w:color="000000"/>
            </w:tcBorders>
            <w:vAlign w:val="bottom"/>
          </w:tcPr>
          <w:p w14:paraId="038F01C7" w14:textId="77777777" w:rsidR="00D63C4D" w:rsidRDefault="00D63C4D" w:rsidP="00A669A4">
            <w:pPr>
              <w:pStyle w:val="TDummy"/>
              <w:keepNext/>
            </w:pPr>
          </w:p>
        </w:tc>
        <w:tc>
          <w:tcPr>
            <w:tcW w:w="119" w:type="dxa"/>
            <w:tcBorders>
              <w:top w:val="single" w:sz="8" w:space="0" w:color="000000"/>
            </w:tcBorders>
            <w:vAlign w:val="bottom"/>
          </w:tcPr>
          <w:p w14:paraId="2043EC5D" w14:textId="77777777" w:rsidR="00D63C4D" w:rsidRDefault="00D63C4D" w:rsidP="00A669A4">
            <w:pPr>
              <w:pStyle w:val="TDummy"/>
              <w:keepNext/>
            </w:pPr>
          </w:p>
        </w:tc>
        <w:tc>
          <w:tcPr>
            <w:tcW w:w="1021" w:type="dxa"/>
            <w:tcBorders>
              <w:top w:val="single" w:sz="8" w:space="0" w:color="000000"/>
            </w:tcBorders>
            <w:vAlign w:val="bottom"/>
          </w:tcPr>
          <w:p w14:paraId="68CF60AF" w14:textId="77777777" w:rsidR="00D63C4D" w:rsidRDefault="00D63C4D" w:rsidP="00A669A4">
            <w:pPr>
              <w:pStyle w:val="TDummy"/>
              <w:keepNext/>
            </w:pPr>
          </w:p>
        </w:tc>
        <w:tc>
          <w:tcPr>
            <w:tcW w:w="119" w:type="dxa"/>
            <w:tcBorders>
              <w:top w:val="single" w:sz="8" w:space="0" w:color="000000"/>
            </w:tcBorders>
            <w:vAlign w:val="bottom"/>
          </w:tcPr>
          <w:p w14:paraId="76BCFC8D" w14:textId="77777777" w:rsidR="00D63C4D" w:rsidRDefault="00D63C4D" w:rsidP="00A669A4">
            <w:pPr>
              <w:pStyle w:val="TDummy"/>
              <w:keepNext/>
            </w:pPr>
          </w:p>
        </w:tc>
        <w:tc>
          <w:tcPr>
            <w:tcW w:w="1021" w:type="dxa"/>
            <w:tcBorders>
              <w:top w:val="single" w:sz="8" w:space="0" w:color="000000"/>
            </w:tcBorders>
            <w:vAlign w:val="bottom"/>
          </w:tcPr>
          <w:p w14:paraId="4B31AB67" w14:textId="77777777" w:rsidR="00D63C4D" w:rsidRDefault="00D63C4D" w:rsidP="00A669A4">
            <w:pPr>
              <w:pStyle w:val="TDummy"/>
              <w:keepNext/>
            </w:pPr>
          </w:p>
        </w:tc>
        <w:tc>
          <w:tcPr>
            <w:tcW w:w="119" w:type="dxa"/>
            <w:tcBorders>
              <w:top w:val="single" w:sz="8" w:space="0" w:color="000000"/>
            </w:tcBorders>
            <w:vAlign w:val="bottom"/>
          </w:tcPr>
          <w:p w14:paraId="4B8963C3" w14:textId="77777777" w:rsidR="00D63C4D" w:rsidRDefault="00D63C4D" w:rsidP="00A669A4">
            <w:pPr>
              <w:pStyle w:val="TDummy"/>
              <w:keepNext/>
            </w:pPr>
          </w:p>
        </w:tc>
        <w:tc>
          <w:tcPr>
            <w:tcW w:w="1021" w:type="dxa"/>
            <w:tcBorders>
              <w:top w:val="single" w:sz="8" w:space="0" w:color="000000"/>
            </w:tcBorders>
            <w:vAlign w:val="bottom"/>
          </w:tcPr>
          <w:p w14:paraId="70C50568" w14:textId="77777777" w:rsidR="00D63C4D" w:rsidRDefault="00D63C4D" w:rsidP="00A669A4">
            <w:pPr>
              <w:pStyle w:val="TDummy"/>
              <w:keepNext/>
            </w:pPr>
          </w:p>
        </w:tc>
        <w:tc>
          <w:tcPr>
            <w:tcW w:w="119" w:type="dxa"/>
            <w:tcBorders>
              <w:top w:val="single" w:sz="8" w:space="0" w:color="000000"/>
            </w:tcBorders>
            <w:vAlign w:val="bottom"/>
          </w:tcPr>
          <w:p w14:paraId="516D5141" w14:textId="77777777" w:rsidR="00D63C4D" w:rsidRDefault="00D63C4D" w:rsidP="00A669A4">
            <w:pPr>
              <w:pStyle w:val="TDummy"/>
              <w:keepNext/>
            </w:pPr>
          </w:p>
        </w:tc>
        <w:tc>
          <w:tcPr>
            <w:tcW w:w="1021" w:type="dxa"/>
            <w:tcBorders>
              <w:top w:val="single" w:sz="8" w:space="0" w:color="000000"/>
            </w:tcBorders>
            <w:vAlign w:val="bottom"/>
          </w:tcPr>
          <w:p w14:paraId="69D308CC" w14:textId="77777777" w:rsidR="00D63C4D" w:rsidRDefault="00D63C4D" w:rsidP="00A669A4">
            <w:pPr>
              <w:pStyle w:val="TDummy"/>
              <w:keepNext/>
            </w:pPr>
          </w:p>
        </w:tc>
        <w:tc>
          <w:tcPr>
            <w:tcW w:w="119" w:type="dxa"/>
            <w:tcBorders>
              <w:top w:val="single" w:sz="8" w:space="0" w:color="000000"/>
            </w:tcBorders>
            <w:vAlign w:val="bottom"/>
          </w:tcPr>
          <w:p w14:paraId="6005604F" w14:textId="77777777" w:rsidR="00D63C4D" w:rsidRDefault="00D63C4D" w:rsidP="00A669A4">
            <w:pPr>
              <w:pStyle w:val="TDummy"/>
              <w:keepNext/>
            </w:pPr>
          </w:p>
        </w:tc>
        <w:tc>
          <w:tcPr>
            <w:tcW w:w="1021" w:type="dxa"/>
            <w:tcBorders>
              <w:top w:val="single" w:sz="8" w:space="0" w:color="000000"/>
            </w:tcBorders>
            <w:vAlign w:val="bottom"/>
          </w:tcPr>
          <w:p w14:paraId="494CAD9C" w14:textId="77777777" w:rsidR="00D63C4D" w:rsidRDefault="00D63C4D" w:rsidP="00A669A4">
            <w:pPr>
              <w:pStyle w:val="TDummy"/>
              <w:keepNext/>
            </w:pPr>
          </w:p>
        </w:tc>
        <w:tc>
          <w:tcPr>
            <w:tcW w:w="119" w:type="dxa"/>
            <w:tcBorders>
              <w:top w:val="single" w:sz="8" w:space="0" w:color="000000"/>
            </w:tcBorders>
            <w:vAlign w:val="bottom"/>
          </w:tcPr>
          <w:p w14:paraId="1DAD1DA1" w14:textId="77777777" w:rsidR="00D63C4D" w:rsidRDefault="00D63C4D" w:rsidP="00A669A4">
            <w:pPr>
              <w:pStyle w:val="TDummy"/>
              <w:keepNext/>
            </w:pPr>
          </w:p>
        </w:tc>
        <w:tc>
          <w:tcPr>
            <w:tcW w:w="1021" w:type="dxa"/>
            <w:tcBorders>
              <w:top w:val="single" w:sz="8" w:space="0" w:color="000000"/>
            </w:tcBorders>
            <w:vAlign w:val="bottom"/>
          </w:tcPr>
          <w:p w14:paraId="155668CE" w14:textId="77777777" w:rsidR="00D63C4D" w:rsidRDefault="00D63C4D" w:rsidP="00A669A4">
            <w:pPr>
              <w:pStyle w:val="TDummy"/>
              <w:keepNext/>
            </w:pPr>
          </w:p>
        </w:tc>
      </w:tr>
      <w:tr w:rsidR="00D63C4D" w14:paraId="0D292A69" w14:textId="77777777" w:rsidTr="00A669A4">
        <w:tc>
          <w:tcPr>
            <w:tcW w:w="2914" w:type="dxa"/>
            <w:shd w:val="clear" w:color="000000" w:fill="FFFFFF"/>
            <w:vAlign w:val="bottom"/>
          </w:tcPr>
          <w:p w14:paraId="18044089" w14:textId="77777777" w:rsidR="00D63C4D" w:rsidRDefault="00D63C4D" w:rsidP="00A669A4">
            <w:pPr>
              <w:pStyle w:val="THeadfirstNumber"/>
            </w:pPr>
          </w:p>
        </w:tc>
        <w:tc>
          <w:tcPr>
            <w:tcW w:w="119" w:type="dxa"/>
            <w:vAlign w:val="bottom"/>
          </w:tcPr>
          <w:p w14:paraId="762C8475" w14:textId="77777777" w:rsidR="00D63C4D" w:rsidRDefault="00D63C4D" w:rsidP="00A669A4">
            <w:pPr>
              <w:pStyle w:val="THeadfirstNumber"/>
            </w:pPr>
          </w:p>
        </w:tc>
        <w:tc>
          <w:tcPr>
            <w:tcW w:w="3301" w:type="dxa"/>
            <w:gridSpan w:val="5"/>
            <w:tcBorders>
              <w:bottom w:val="single" w:sz="4" w:space="0" w:color="A59C94"/>
            </w:tcBorders>
            <w:shd w:val="clear" w:color="000000" w:fill="FFFFFF"/>
            <w:vAlign w:val="bottom"/>
          </w:tcPr>
          <w:p w14:paraId="24E281A7" w14:textId="77777777" w:rsidR="00D63C4D" w:rsidRDefault="00D63C4D" w:rsidP="00A669A4">
            <w:pPr>
              <w:pStyle w:val="THeadfirstNumber"/>
            </w:pPr>
            <w:r>
              <w:t>4. Quartal</w:t>
            </w:r>
          </w:p>
        </w:tc>
        <w:tc>
          <w:tcPr>
            <w:tcW w:w="119" w:type="dxa"/>
            <w:vAlign w:val="bottom"/>
          </w:tcPr>
          <w:p w14:paraId="2094B4F8" w14:textId="77777777" w:rsidR="00D63C4D" w:rsidRDefault="00D63C4D" w:rsidP="00A669A4">
            <w:pPr>
              <w:pStyle w:val="THeadfirstNumber"/>
            </w:pPr>
          </w:p>
        </w:tc>
        <w:tc>
          <w:tcPr>
            <w:tcW w:w="3301" w:type="dxa"/>
            <w:gridSpan w:val="5"/>
            <w:tcBorders>
              <w:bottom w:val="single" w:sz="4" w:space="0" w:color="A59C94"/>
            </w:tcBorders>
            <w:shd w:val="clear" w:color="000000" w:fill="FFFFFF"/>
            <w:vAlign w:val="bottom"/>
          </w:tcPr>
          <w:p w14:paraId="03EF44A5" w14:textId="77777777" w:rsidR="00D63C4D" w:rsidRDefault="00D63C4D" w:rsidP="00A669A4">
            <w:pPr>
              <w:pStyle w:val="THeadfirstNumber"/>
            </w:pPr>
            <w:r>
              <w:t>Gesamtjahr</w:t>
            </w:r>
          </w:p>
        </w:tc>
      </w:tr>
      <w:tr w:rsidR="00D63C4D" w14:paraId="41F1B46E" w14:textId="77777777" w:rsidTr="00A669A4">
        <w:tc>
          <w:tcPr>
            <w:tcW w:w="2914" w:type="dxa"/>
            <w:tcBorders>
              <w:bottom w:val="single" w:sz="4" w:space="0" w:color="000000"/>
            </w:tcBorders>
            <w:shd w:val="clear" w:color="000000" w:fill="FFFFFF"/>
            <w:vAlign w:val="bottom"/>
          </w:tcPr>
          <w:p w14:paraId="7F4CC805" w14:textId="77777777" w:rsidR="00D63C4D" w:rsidRDefault="00D63C4D" w:rsidP="00A669A4">
            <w:pPr>
              <w:pStyle w:val="THeadlastText"/>
            </w:pPr>
            <w:r>
              <w:t>in Millionen €</w:t>
            </w:r>
          </w:p>
        </w:tc>
        <w:tc>
          <w:tcPr>
            <w:tcW w:w="119" w:type="dxa"/>
            <w:vAlign w:val="bottom"/>
          </w:tcPr>
          <w:p w14:paraId="3FA26BC4"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550D1319" w14:textId="77777777" w:rsidR="00D63C4D" w:rsidRDefault="00D63C4D" w:rsidP="00A669A4">
            <w:pPr>
              <w:pStyle w:val="THeadlastNumber"/>
            </w:pPr>
            <w:r>
              <w:t>2019</w:t>
            </w:r>
          </w:p>
        </w:tc>
        <w:tc>
          <w:tcPr>
            <w:tcW w:w="119" w:type="dxa"/>
            <w:vAlign w:val="bottom"/>
          </w:tcPr>
          <w:p w14:paraId="71A27833"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00EA3FBB" w14:textId="77777777" w:rsidR="00D63C4D" w:rsidRDefault="00D63C4D" w:rsidP="00A669A4">
            <w:pPr>
              <w:pStyle w:val="THeadlastNumberbold"/>
            </w:pPr>
            <w:r>
              <w:t>2020</w:t>
            </w:r>
          </w:p>
        </w:tc>
        <w:tc>
          <w:tcPr>
            <w:tcW w:w="119" w:type="dxa"/>
            <w:vAlign w:val="bottom"/>
          </w:tcPr>
          <w:p w14:paraId="359B9E82"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2E1CB633" w14:textId="77777777" w:rsidR="00D63C4D" w:rsidRDefault="00D63C4D" w:rsidP="00A669A4">
            <w:pPr>
              <w:pStyle w:val="THeaddifferenceNumber"/>
              <w:keepNext/>
            </w:pPr>
            <w:r>
              <w:t>Veränd. in %</w:t>
            </w:r>
          </w:p>
        </w:tc>
        <w:tc>
          <w:tcPr>
            <w:tcW w:w="119" w:type="dxa"/>
            <w:vAlign w:val="bottom"/>
          </w:tcPr>
          <w:p w14:paraId="1E8680B8"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2904E38B" w14:textId="77777777" w:rsidR="00D63C4D" w:rsidRDefault="00D63C4D" w:rsidP="00A669A4">
            <w:pPr>
              <w:pStyle w:val="THeadlastNumber"/>
            </w:pPr>
            <w:r>
              <w:t>2019</w:t>
            </w:r>
          </w:p>
        </w:tc>
        <w:tc>
          <w:tcPr>
            <w:tcW w:w="119" w:type="dxa"/>
            <w:vAlign w:val="bottom"/>
          </w:tcPr>
          <w:p w14:paraId="3B9A1706"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21721E9E" w14:textId="77777777" w:rsidR="00D63C4D" w:rsidRDefault="00D63C4D" w:rsidP="00A669A4">
            <w:pPr>
              <w:pStyle w:val="THeadlastNumberbold"/>
            </w:pPr>
            <w:r>
              <w:t>2020</w:t>
            </w:r>
          </w:p>
        </w:tc>
        <w:tc>
          <w:tcPr>
            <w:tcW w:w="119" w:type="dxa"/>
            <w:vAlign w:val="bottom"/>
          </w:tcPr>
          <w:p w14:paraId="320D5A48"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454D4F8D" w14:textId="77777777" w:rsidR="00D63C4D" w:rsidRDefault="00D63C4D" w:rsidP="00A669A4">
            <w:pPr>
              <w:pStyle w:val="THeaddifferenceNumber"/>
              <w:keepNext/>
            </w:pPr>
            <w:r>
              <w:t>Veränd. in %</w:t>
            </w:r>
          </w:p>
        </w:tc>
      </w:tr>
      <w:tr w:rsidR="00D63C4D" w14:paraId="571A19FB" w14:textId="77777777" w:rsidTr="00A669A4">
        <w:tc>
          <w:tcPr>
            <w:tcW w:w="2914" w:type="dxa"/>
            <w:tcBorders>
              <w:top w:val="single" w:sz="4" w:space="0" w:color="000000"/>
              <w:bottom w:val="single" w:sz="4" w:space="0" w:color="A59C94"/>
            </w:tcBorders>
            <w:vAlign w:val="bottom"/>
          </w:tcPr>
          <w:p w14:paraId="70A3C27D" w14:textId="77777777" w:rsidR="00D63C4D" w:rsidRDefault="00D63C4D" w:rsidP="00A669A4">
            <w:pPr>
              <w:pStyle w:val="TBodysubtotalText"/>
              <w:keepNext/>
            </w:pPr>
            <w:r>
              <w:t>Umsatz</w:t>
            </w:r>
          </w:p>
        </w:tc>
        <w:tc>
          <w:tcPr>
            <w:tcW w:w="119" w:type="dxa"/>
            <w:vAlign w:val="bottom"/>
          </w:tcPr>
          <w:p w14:paraId="55693024" w14:textId="77777777" w:rsidR="00D63C4D" w:rsidRDefault="00D63C4D" w:rsidP="00A669A4">
            <w:pPr>
              <w:pStyle w:val="TBodysubtotalNumber"/>
              <w:keepNext/>
            </w:pPr>
          </w:p>
        </w:tc>
        <w:tc>
          <w:tcPr>
            <w:tcW w:w="1021" w:type="dxa"/>
            <w:tcBorders>
              <w:top w:val="single" w:sz="4" w:space="0" w:color="000000"/>
              <w:bottom w:val="single" w:sz="4" w:space="0" w:color="A59C94"/>
            </w:tcBorders>
            <w:vAlign w:val="bottom"/>
          </w:tcPr>
          <w:p w14:paraId="3F68C34C" w14:textId="77777777" w:rsidR="00D63C4D" w:rsidRDefault="00D63C4D" w:rsidP="00A669A4">
            <w:pPr>
              <w:pStyle w:val="TBodysubtotalNumber"/>
              <w:keepNext/>
            </w:pPr>
            <w:r>
              <w:t>3.284</w:t>
            </w:r>
          </w:p>
        </w:tc>
        <w:tc>
          <w:tcPr>
            <w:tcW w:w="119" w:type="dxa"/>
            <w:vAlign w:val="bottom"/>
          </w:tcPr>
          <w:p w14:paraId="31191BDE" w14:textId="77777777" w:rsidR="00D63C4D" w:rsidRDefault="00D63C4D" w:rsidP="00A669A4">
            <w:pPr>
              <w:pStyle w:val="TBodysubtotalNumber"/>
              <w:keepNext/>
            </w:pPr>
          </w:p>
        </w:tc>
        <w:tc>
          <w:tcPr>
            <w:tcW w:w="1021" w:type="dxa"/>
            <w:tcBorders>
              <w:top w:val="single" w:sz="4" w:space="0" w:color="000000"/>
              <w:bottom w:val="single" w:sz="4" w:space="0" w:color="A59C94"/>
            </w:tcBorders>
            <w:shd w:val="clear" w:color="000000" w:fill="DAD5C9"/>
            <w:vAlign w:val="bottom"/>
          </w:tcPr>
          <w:p w14:paraId="2B4EE4A6" w14:textId="77777777" w:rsidR="00D63C4D" w:rsidRDefault="00D63C4D" w:rsidP="00A669A4">
            <w:pPr>
              <w:pStyle w:val="TBodysubtotalNumber"/>
              <w:keepNext/>
            </w:pPr>
            <w:r>
              <w:t>3.212</w:t>
            </w:r>
          </w:p>
        </w:tc>
        <w:tc>
          <w:tcPr>
            <w:tcW w:w="119" w:type="dxa"/>
            <w:vAlign w:val="bottom"/>
          </w:tcPr>
          <w:p w14:paraId="0CA67559" w14:textId="77777777" w:rsidR="00D63C4D" w:rsidRDefault="00D63C4D" w:rsidP="00A669A4">
            <w:pPr>
              <w:pStyle w:val="TBodysubtotalNumber"/>
              <w:keepNext/>
            </w:pPr>
          </w:p>
        </w:tc>
        <w:tc>
          <w:tcPr>
            <w:tcW w:w="1021" w:type="dxa"/>
            <w:tcBorders>
              <w:top w:val="single" w:sz="4" w:space="0" w:color="000000"/>
              <w:bottom w:val="single" w:sz="4" w:space="0" w:color="A59C94"/>
            </w:tcBorders>
            <w:vAlign w:val="bottom"/>
          </w:tcPr>
          <w:p w14:paraId="68F07DEB" w14:textId="77777777" w:rsidR="00D63C4D" w:rsidRDefault="00D63C4D" w:rsidP="00A669A4">
            <w:pPr>
              <w:pStyle w:val="TBodysubtotalNumber"/>
              <w:keepNext/>
            </w:pPr>
            <w:r>
              <w:t>-2</w:t>
            </w:r>
          </w:p>
        </w:tc>
        <w:tc>
          <w:tcPr>
            <w:tcW w:w="119" w:type="dxa"/>
            <w:vAlign w:val="bottom"/>
          </w:tcPr>
          <w:p w14:paraId="6D1B8F1D" w14:textId="77777777" w:rsidR="00D63C4D" w:rsidRDefault="00D63C4D" w:rsidP="00A669A4">
            <w:pPr>
              <w:pStyle w:val="TBodysubtotalNumber"/>
              <w:keepNext/>
            </w:pPr>
          </w:p>
        </w:tc>
        <w:tc>
          <w:tcPr>
            <w:tcW w:w="1021" w:type="dxa"/>
            <w:tcBorders>
              <w:top w:val="single" w:sz="4" w:space="0" w:color="000000"/>
              <w:bottom w:val="single" w:sz="4" w:space="0" w:color="A59C94"/>
            </w:tcBorders>
            <w:vAlign w:val="bottom"/>
          </w:tcPr>
          <w:p w14:paraId="554E3735" w14:textId="77777777" w:rsidR="00D63C4D" w:rsidRDefault="00D63C4D" w:rsidP="00A669A4">
            <w:pPr>
              <w:pStyle w:val="TBodysubtotalNumber"/>
              <w:keepNext/>
            </w:pPr>
            <w:r>
              <w:t>13.108</w:t>
            </w:r>
          </w:p>
        </w:tc>
        <w:tc>
          <w:tcPr>
            <w:tcW w:w="119" w:type="dxa"/>
            <w:vAlign w:val="bottom"/>
          </w:tcPr>
          <w:p w14:paraId="34A8C6D8" w14:textId="77777777" w:rsidR="00D63C4D" w:rsidRDefault="00D63C4D" w:rsidP="00A669A4">
            <w:pPr>
              <w:pStyle w:val="TBodysubtotalNumber"/>
              <w:keepNext/>
            </w:pPr>
          </w:p>
        </w:tc>
        <w:tc>
          <w:tcPr>
            <w:tcW w:w="1021" w:type="dxa"/>
            <w:tcBorders>
              <w:top w:val="single" w:sz="4" w:space="0" w:color="000000"/>
              <w:bottom w:val="single" w:sz="4" w:space="0" w:color="A59C94"/>
            </w:tcBorders>
            <w:shd w:val="clear" w:color="000000" w:fill="DAD5C9"/>
            <w:vAlign w:val="bottom"/>
          </w:tcPr>
          <w:p w14:paraId="49E11719" w14:textId="77777777" w:rsidR="00D63C4D" w:rsidRDefault="00D63C4D" w:rsidP="00A669A4">
            <w:pPr>
              <w:pStyle w:val="TBodysubtotalNumber"/>
              <w:keepNext/>
            </w:pPr>
            <w:r>
              <w:t>12.199</w:t>
            </w:r>
          </w:p>
        </w:tc>
        <w:tc>
          <w:tcPr>
            <w:tcW w:w="119" w:type="dxa"/>
            <w:vAlign w:val="bottom"/>
          </w:tcPr>
          <w:p w14:paraId="5B3FF09F" w14:textId="77777777" w:rsidR="00D63C4D" w:rsidRDefault="00D63C4D" w:rsidP="00A669A4">
            <w:pPr>
              <w:pStyle w:val="TBodysubtotalNumber"/>
              <w:keepNext/>
            </w:pPr>
          </w:p>
        </w:tc>
        <w:tc>
          <w:tcPr>
            <w:tcW w:w="1021" w:type="dxa"/>
            <w:tcBorders>
              <w:top w:val="single" w:sz="4" w:space="0" w:color="000000"/>
              <w:bottom w:val="single" w:sz="4" w:space="0" w:color="A59C94"/>
            </w:tcBorders>
            <w:vAlign w:val="bottom"/>
          </w:tcPr>
          <w:p w14:paraId="3EFEFC19" w14:textId="77777777" w:rsidR="00D63C4D" w:rsidRDefault="00D63C4D" w:rsidP="00A669A4">
            <w:pPr>
              <w:pStyle w:val="TBodysubtotalNumber"/>
              <w:keepNext/>
            </w:pPr>
            <w:r>
              <w:t>-7</w:t>
            </w:r>
          </w:p>
        </w:tc>
      </w:tr>
      <w:tr w:rsidR="00D63C4D" w14:paraId="1815FDC3" w14:textId="77777777" w:rsidTr="00A669A4">
        <w:tc>
          <w:tcPr>
            <w:tcW w:w="2914" w:type="dxa"/>
            <w:tcBorders>
              <w:top w:val="single" w:sz="4" w:space="0" w:color="A59C94"/>
              <w:bottom w:val="single" w:sz="4" w:space="0" w:color="A59C94"/>
            </w:tcBorders>
            <w:vAlign w:val="bottom"/>
          </w:tcPr>
          <w:p w14:paraId="1F63964A" w14:textId="77777777" w:rsidR="00D63C4D" w:rsidRDefault="00D63C4D" w:rsidP="00A669A4">
            <w:pPr>
              <w:pStyle w:val="TBodysubtotalText"/>
              <w:keepNext/>
            </w:pPr>
            <w:r>
              <w:t>Bereinigtes EBITDA</w:t>
            </w:r>
          </w:p>
        </w:tc>
        <w:tc>
          <w:tcPr>
            <w:tcW w:w="119" w:type="dxa"/>
            <w:vAlign w:val="bottom"/>
          </w:tcPr>
          <w:p w14:paraId="4A896222"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1386969C" w14:textId="77777777" w:rsidR="00D63C4D" w:rsidRDefault="00D63C4D" w:rsidP="00A669A4">
            <w:pPr>
              <w:pStyle w:val="TBodysubtotalNumber"/>
              <w:keepNext/>
            </w:pPr>
            <w:r>
              <w:t>505</w:t>
            </w:r>
          </w:p>
        </w:tc>
        <w:tc>
          <w:tcPr>
            <w:tcW w:w="119" w:type="dxa"/>
            <w:vAlign w:val="bottom"/>
          </w:tcPr>
          <w:p w14:paraId="2D4C937F" w14:textId="77777777" w:rsidR="00D63C4D" w:rsidRDefault="00D63C4D"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6DC34B25" w14:textId="77777777" w:rsidR="00D63C4D" w:rsidRDefault="00D63C4D" w:rsidP="00A669A4">
            <w:pPr>
              <w:pStyle w:val="TBodysubtotalNumber"/>
              <w:keepNext/>
            </w:pPr>
            <w:r>
              <w:t>418</w:t>
            </w:r>
          </w:p>
        </w:tc>
        <w:tc>
          <w:tcPr>
            <w:tcW w:w="119" w:type="dxa"/>
            <w:vAlign w:val="bottom"/>
          </w:tcPr>
          <w:p w14:paraId="7826CCBD"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03896A12" w14:textId="77777777" w:rsidR="00D63C4D" w:rsidRDefault="00D63C4D" w:rsidP="00A669A4">
            <w:pPr>
              <w:pStyle w:val="TBodysubtotalNumber"/>
              <w:keepNext/>
            </w:pPr>
            <w:r>
              <w:t>-17</w:t>
            </w:r>
          </w:p>
        </w:tc>
        <w:tc>
          <w:tcPr>
            <w:tcW w:w="119" w:type="dxa"/>
            <w:vAlign w:val="bottom"/>
          </w:tcPr>
          <w:p w14:paraId="49B6EE4F"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09E12844" w14:textId="77777777" w:rsidR="00D63C4D" w:rsidRDefault="00D63C4D" w:rsidP="00A669A4">
            <w:pPr>
              <w:pStyle w:val="TBodysubtotalNumber"/>
              <w:keepNext/>
            </w:pPr>
            <w:r>
              <w:t>2.153</w:t>
            </w:r>
          </w:p>
        </w:tc>
        <w:tc>
          <w:tcPr>
            <w:tcW w:w="119" w:type="dxa"/>
            <w:vAlign w:val="bottom"/>
          </w:tcPr>
          <w:p w14:paraId="1DD26AD5" w14:textId="77777777" w:rsidR="00D63C4D" w:rsidRDefault="00D63C4D"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2C5934B6" w14:textId="77777777" w:rsidR="00D63C4D" w:rsidRDefault="00D63C4D" w:rsidP="00A669A4">
            <w:pPr>
              <w:pStyle w:val="TBodysubtotalNumber"/>
              <w:keepNext/>
            </w:pPr>
            <w:r>
              <w:t>1.906</w:t>
            </w:r>
          </w:p>
        </w:tc>
        <w:tc>
          <w:tcPr>
            <w:tcW w:w="119" w:type="dxa"/>
            <w:vAlign w:val="bottom"/>
          </w:tcPr>
          <w:p w14:paraId="754800F5"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6659A4D9" w14:textId="77777777" w:rsidR="00D63C4D" w:rsidRDefault="00D63C4D" w:rsidP="00A669A4">
            <w:pPr>
              <w:pStyle w:val="TBodysubtotalNumber"/>
              <w:keepNext/>
            </w:pPr>
            <w:r>
              <w:t>-11</w:t>
            </w:r>
          </w:p>
        </w:tc>
      </w:tr>
      <w:tr w:rsidR="00D63C4D" w14:paraId="7E0AD7E4" w14:textId="77777777" w:rsidTr="00A669A4">
        <w:tc>
          <w:tcPr>
            <w:tcW w:w="2914" w:type="dxa"/>
            <w:tcBorders>
              <w:top w:val="single" w:sz="4" w:space="0" w:color="A59C94"/>
              <w:bottom w:val="single" w:sz="4" w:space="0" w:color="A59C94"/>
            </w:tcBorders>
            <w:vAlign w:val="bottom"/>
          </w:tcPr>
          <w:p w14:paraId="1EB4EF05" w14:textId="77777777" w:rsidR="00D63C4D" w:rsidRDefault="00D63C4D" w:rsidP="00A669A4">
            <w:pPr>
              <w:pStyle w:val="TBodysubtotalText"/>
              <w:keepNext/>
            </w:pPr>
            <w:r>
              <w:t>Bereinigtes EBIT</w:t>
            </w:r>
          </w:p>
        </w:tc>
        <w:tc>
          <w:tcPr>
            <w:tcW w:w="119" w:type="dxa"/>
            <w:vAlign w:val="bottom"/>
          </w:tcPr>
          <w:p w14:paraId="1E4249BE"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7013B6F7" w14:textId="77777777" w:rsidR="00D63C4D" w:rsidRDefault="00D63C4D" w:rsidP="00A669A4">
            <w:pPr>
              <w:pStyle w:val="TBodysubtotalNumber"/>
              <w:keepNext/>
            </w:pPr>
            <w:r>
              <w:t>253</w:t>
            </w:r>
          </w:p>
        </w:tc>
        <w:tc>
          <w:tcPr>
            <w:tcW w:w="119" w:type="dxa"/>
            <w:vAlign w:val="bottom"/>
          </w:tcPr>
          <w:p w14:paraId="3F5F23BB" w14:textId="77777777" w:rsidR="00D63C4D" w:rsidRDefault="00D63C4D"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3FEA9C78" w14:textId="77777777" w:rsidR="00D63C4D" w:rsidRDefault="00D63C4D" w:rsidP="00A669A4">
            <w:pPr>
              <w:pStyle w:val="TBodysubtotalNumber"/>
              <w:keepNext/>
            </w:pPr>
            <w:r>
              <w:t>146</w:t>
            </w:r>
          </w:p>
        </w:tc>
        <w:tc>
          <w:tcPr>
            <w:tcW w:w="119" w:type="dxa"/>
            <w:vAlign w:val="bottom"/>
          </w:tcPr>
          <w:p w14:paraId="268171C6"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4EF68C06" w14:textId="77777777" w:rsidR="00D63C4D" w:rsidRDefault="00D63C4D" w:rsidP="00A669A4">
            <w:pPr>
              <w:pStyle w:val="TBodysubtotalNumber"/>
              <w:keepNext/>
            </w:pPr>
            <w:r>
              <w:t>-42</w:t>
            </w:r>
          </w:p>
        </w:tc>
        <w:tc>
          <w:tcPr>
            <w:tcW w:w="119" w:type="dxa"/>
            <w:vAlign w:val="bottom"/>
          </w:tcPr>
          <w:p w14:paraId="6366ACE0"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75030063" w14:textId="77777777" w:rsidR="00D63C4D" w:rsidRDefault="00D63C4D" w:rsidP="00A669A4">
            <w:pPr>
              <w:pStyle w:val="TBodysubtotalNumber"/>
              <w:keepNext/>
            </w:pPr>
            <w:r>
              <w:t>1.201</w:t>
            </w:r>
          </w:p>
        </w:tc>
        <w:tc>
          <w:tcPr>
            <w:tcW w:w="119" w:type="dxa"/>
            <w:vAlign w:val="bottom"/>
          </w:tcPr>
          <w:p w14:paraId="0F32CF34" w14:textId="77777777" w:rsidR="00D63C4D" w:rsidRDefault="00D63C4D"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2B43AD79" w14:textId="77777777" w:rsidR="00D63C4D" w:rsidRDefault="00D63C4D" w:rsidP="00A669A4">
            <w:pPr>
              <w:pStyle w:val="TBodysubtotalNumber"/>
              <w:keepNext/>
            </w:pPr>
            <w:r>
              <w:t>890</w:t>
            </w:r>
          </w:p>
        </w:tc>
        <w:tc>
          <w:tcPr>
            <w:tcW w:w="119" w:type="dxa"/>
            <w:vAlign w:val="bottom"/>
          </w:tcPr>
          <w:p w14:paraId="5E62BB8B" w14:textId="77777777" w:rsidR="00D63C4D" w:rsidRDefault="00D63C4D" w:rsidP="00A669A4">
            <w:pPr>
              <w:pStyle w:val="TBodysubtotalNumber"/>
              <w:keepNext/>
            </w:pPr>
          </w:p>
        </w:tc>
        <w:tc>
          <w:tcPr>
            <w:tcW w:w="1021" w:type="dxa"/>
            <w:tcBorders>
              <w:top w:val="single" w:sz="4" w:space="0" w:color="A59C94"/>
              <w:bottom w:val="single" w:sz="4" w:space="0" w:color="A59C94"/>
            </w:tcBorders>
            <w:vAlign w:val="bottom"/>
          </w:tcPr>
          <w:p w14:paraId="0CC1B35E" w14:textId="77777777" w:rsidR="00D63C4D" w:rsidRDefault="00D63C4D" w:rsidP="00A669A4">
            <w:pPr>
              <w:pStyle w:val="TBodysubtotalNumber"/>
              <w:keepNext/>
            </w:pPr>
            <w:r>
              <w:t>-26</w:t>
            </w:r>
          </w:p>
        </w:tc>
      </w:tr>
      <w:tr w:rsidR="00D63C4D" w14:paraId="310BD7EB" w14:textId="77777777" w:rsidTr="00A669A4">
        <w:tc>
          <w:tcPr>
            <w:tcW w:w="2914" w:type="dxa"/>
            <w:tcBorders>
              <w:top w:val="single" w:sz="4" w:space="0" w:color="A59C94"/>
              <w:bottom w:val="single" w:sz="4" w:space="0" w:color="A59C94"/>
            </w:tcBorders>
            <w:vAlign w:val="bottom"/>
          </w:tcPr>
          <w:p w14:paraId="01092F42" w14:textId="77777777" w:rsidR="00D63C4D" w:rsidRDefault="00D63C4D" w:rsidP="00A669A4">
            <w:pPr>
              <w:pStyle w:val="TBodynormalText"/>
            </w:pPr>
            <w:r>
              <w:t>Bereinigungen</w:t>
            </w:r>
          </w:p>
        </w:tc>
        <w:tc>
          <w:tcPr>
            <w:tcW w:w="119" w:type="dxa"/>
            <w:vAlign w:val="bottom"/>
          </w:tcPr>
          <w:p w14:paraId="586699F8"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32D9243" w14:textId="77777777" w:rsidR="00D63C4D" w:rsidRDefault="00D63C4D" w:rsidP="00A669A4">
            <w:pPr>
              <w:pStyle w:val="TBodynormalNumber"/>
              <w:keepNext/>
            </w:pPr>
            <w:r>
              <w:t>-1</w:t>
            </w:r>
          </w:p>
        </w:tc>
        <w:tc>
          <w:tcPr>
            <w:tcW w:w="119" w:type="dxa"/>
            <w:vAlign w:val="bottom"/>
          </w:tcPr>
          <w:p w14:paraId="36511179"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F180F9E" w14:textId="77777777" w:rsidR="00D63C4D" w:rsidRDefault="00D63C4D" w:rsidP="00A669A4">
            <w:pPr>
              <w:pStyle w:val="TBodynormalNumber"/>
              <w:keepNext/>
            </w:pPr>
            <w:r>
              <w:t>-7</w:t>
            </w:r>
          </w:p>
        </w:tc>
        <w:tc>
          <w:tcPr>
            <w:tcW w:w="119" w:type="dxa"/>
            <w:vAlign w:val="bottom"/>
          </w:tcPr>
          <w:p w14:paraId="391C173C"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05B435C9" w14:textId="77777777" w:rsidR="00D63C4D" w:rsidRDefault="00D63C4D" w:rsidP="00A669A4">
            <w:pPr>
              <w:pStyle w:val="TBodynormalNumber"/>
              <w:keepNext/>
            </w:pPr>
          </w:p>
        </w:tc>
        <w:tc>
          <w:tcPr>
            <w:tcW w:w="119" w:type="dxa"/>
            <w:vAlign w:val="bottom"/>
          </w:tcPr>
          <w:p w14:paraId="6D802374"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67DD0543" w14:textId="77777777" w:rsidR="00D63C4D" w:rsidRDefault="00D63C4D" w:rsidP="00A669A4">
            <w:pPr>
              <w:pStyle w:val="TBodynormalNumber"/>
              <w:keepNext/>
            </w:pPr>
            <w:r>
              <w:t>-115</w:t>
            </w:r>
          </w:p>
        </w:tc>
        <w:tc>
          <w:tcPr>
            <w:tcW w:w="119" w:type="dxa"/>
            <w:vAlign w:val="bottom"/>
          </w:tcPr>
          <w:p w14:paraId="251FB960"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4D177024" w14:textId="77777777" w:rsidR="00D63C4D" w:rsidRDefault="00D63C4D" w:rsidP="00A669A4">
            <w:pPr>
              <w:pStyle w:val="TBodynormalNumber"/>
              <w:keepNext/>
            </w:pPr>
            <w:r>
              <w:t>-71</w:t>
            </w:r>
          </w:p>
        </w:tc>
        <w:tc>
          <w:tcPr>
            <w:tcW w:w="119" w:type="dxa"/>
            <w:vAlign w:val="bottom"/>
          </w:tcPr>
          <w:p w14:paraId="1735EDDF"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0AF340DB" w14:textId="77777777" w:rsidR="00D63C4D" w:rsidRDefault="00D63C4D" w:rsidP="00A669A4">
            <w:pPr>
              <w:pStyle w:val="TBodynormalNumber"/>
              <w:keepNext/>
            </w:pPr>
          </w:p>
        </w:tc>
      </w:tr>
      <w:tr w:rsidR="00D63C4D" w14:paraId="412F6E6C" w14:textId="77777777" w:rsidTr="00A669A4">
        <w:tc>
          <w:tcPr>
            <w:tcW w:w="2914" w:type="dxa"/>
            <w:tcBorders>
              <w:top w:val="single" w:sz="4" w:space="0" w:color="A59C94"/>
              <w:bottom w:val="single" w:sz="4" w:space="0" w:color="A59C94"/>
            </w:tcBorders>
            <w:vAlign w:val="bottom"/>
          </w:tcPr>
          <w:p w14:paraId="2E671B5A" w14:textId="77777777" w:rsidR="00D63C4D" w:rsidRDefault="00D63C4D" w:rsidP="00A669A4">
            <w:pPr>
              <w:pStyle w:val="TBodynormalText"/>
            </w:pPr>
            <w:r>
              <w:t>Finanzergebnis</w:t>
            </w:r>
          </w:p>
        </w:tc>
        <w:tc>
          <w:tcPr>
            <w:tcW w:w="119" w:type="dxa"/>
            <w:vAlign w:val="bottom"/>
          </w:tcPr>
          <w:p w14:paraId="44912263"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0EE10FE0" w14:textId="77777777" w:rsidR="00D63C4D" w:rsidRDefault="00D63C4D" w:rsidP="00A669A4">
            <w:pPr>
              <w:pStyle w:val="TBodynormalNumber"/>
              <w:keepNext/>
            </w:pPr>
            <w:r>
              <w:t>-19</w:t>
            </w:r>
          </w:p>
        </w:tc>
        <w:tc>
          <w:tcPr>
            <w:tcW w:w="119" w:type="dxa"/>
            <w:vAlign w:val="bottom"/>
          </w:tcPr>
          <w:p w14:paraId="6B2ACB08"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3BBD6C2" w14:textId="77777777" w:rsidR="00D63C4D" w:rsidRDefault="00D63C4D" w:rsidP="00A669A4">
            <w:pPr>
              <w:pStyle w:val="TBodynormalNumber"/>
              <w:keepNext/>
            </w:pPr>
            <w:r>
              <w:t>-36</w:t>
            </w:r>
          </w:p>
        </w:tc>
        <w:tc>
          <w:tcPr>
            <w:tcW w:w="119" w:type="dxa"/>
            <w:vAlign w:val="bottom"/>
          </w:tcPr>
          <w:p w14:paraId="382ABD33"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5AA91682" w14:textId="77777777" w:rsidR="00D63C4D" w:rsidRDefault="00D63C4D" w:rsidP="00A669A4">
            <w:pPr>
              <w:pStyle w:val="TBodynormalNumber"/>
              <w:keepNext/>
            </w:pPr>
          </w:p>
        </w:tc>
        <w:tc>
          <w:tcPr>
            <w:tcW w:w="119" w:type="dxa"/>
            <w:vAlign w:val="bottom"/>
          </w:tcPr>
          <w:p w14:paraId="23D14FEC"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FF3CA48" w14:textId="77777777" w:rsidR="00D63C4D" w:rsidRDefault="00D63C4D" w:rsidP="00A669A4">
            <w:pPr>
              <w:pStyle w:val="TBodynormalNumber"/>
              <w:keepNext/>
            </w:pPr>
            <w:r>
              <w:t>-132</w:t>
            </w:r>
          </w:p>
        </w:tc>
        <w:tc>
          <w:tcPr>
            <w:tcW w:w="119" w:type="dxa"/>
            <w:vAlign w:val="bottom"/>
          </w:tcPr>
          <w:p w14:paraId="36A3F2D1"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4AA6FA6A" w14:textId="77777777" w:rsidR="00D63C4D" w:rsidRDefault="00D63C4D" w:rsidP="00A669A4">
            <w:pPr>
              <w:pStyle w:val="TBodynormalNumber"/>
              <w:keepNext/>
            </w:pPr>
            <w:r>
              <w:t>-135</w:t>
            </w:r>
          </w:p>
        </w:tc>
        <w:tc>
          <w:tcPr>
            <w:tcW w:w="119" w:type="dxa"/>
            <w:vAlign w:val="bottom"/>
          </w:tcPr>
          <w:p w14:paraId="02E1A115"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4ED5DAD" w14:textId="77777777" w:rsidR="00D63C4D" w:rsidRDefault="00D63C4D" w:rsidP="00A669A4">
            <w:pPr>
              <w:pStyle w:val="TBodynormalNumber"/>
              <w:keepNext/>
            </w:pPr>
          </w:p>
        </w:tc>
      </w:tr>
      <w:tr w:rsidR="00D63C4D" w14:paraId="4E1151A0" w14:textId="77777777" w:rsidTr="00A669A4">
        <w:tc>
          <w:tcPr>
            <w:tcW w:w="2914" w:type="dxa"/>
            <w:tcBorders>
              <w:top w:val="single" w:sz="4" w:space="0" w:color="A59C94"/>
              <w:bottom w:val="single" w:sz="4" w:space="0" w:color="000000"/>
            </w:tcBorders>
            <w:vAlign w:val="bottom"/>
          </w:tcPr>
          <w:p w14:paraId="53ABF508" w14:textId="77777777" w:rsidR="00D63C4D" w:rsidRDefault="00D63C4D" w:rsidP="00A669A4">
            <w:pPr>
              <w:pStyle w:val="TBodysubtotalText"/>
              <w:keepNext/>
            </w:pPr>
            <w:r>
              <w:t>Ergebnis vor Ertragsteuern fortgeführter Aktivitäten</w:t>
            </w:r>
          </w:p>
        </w:tc>
        <w:tc>
          <w:tcPr>
            <w:tcW w:w="119" w:type="dxa"/>
            <w:vAlign w:val="bottom"/>
          </w:tcPr>
          <w:p w14:paraId="06E41EE8"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78826C71" w14:textId="77777777" w:rsidR="00D63C4D" w:rsidRDefault="00D63C4D" w:rsidP="00A669A4">
            <w:pPr>
              <w:pStyle w:val="TBodysubtotalNumber"/>
              <w:keepNext/>
            </w:pPr>
            <w:r>
              <w:t>233</w:t>
            </w:r>
          </w:p>
        </w:tc>
        <w:tc>
          <w:tcPr>
            <w:tcW w:w="119" w:type="dxa"/>
            <w:vAlign w:val="bottom"/>
          </w:tcPr>
          <w:p w14:paraId="3E8713CD"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5F0F76EA" w14:textId="77777777" w:rsidR="00D63C4D" w:rsidRDefault="00D63C4D" w:rsidP="00A669A4">
            <w:pPr>
              <w:pStyle w:val="TBodysubtotalNumber"/>
              <w:keepNext/>
            </w:pPr>
            <w:r>
              <w:t>103</w:t>
            </w:r>
          </w:p>
        </w:tc>
        <w:tc>
          <w:tcPr>
            <w:tcW w:w="119" w:type="dxa"/>
            <w:vAlign w:val="bottom"/>
          </w:tcPr>
          <w:p w14:paraId="6F51C7DF"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2F6DA030" w14:textId="77777777" w:rsidR="00D63C4D" w:rsidRDefault="00D63C4D" w:rsidP="00A669A4">
            <w:pPr>
              <w:pStyle w:val="TBodysubtotalNumber"/>
              <w:keepNext/>
            </w:pPr>
            <w:r>
              <w:t>-56</w:t>
            </w:r>
          </w:p>
        </w:tc>
        <w:tc>
          <w:tcPr>
            <w:tcW w:w="119" w:type="dxa"/>
            <w:vAlign w:val="bottom"/>
          </w:tcPr>
          <w:p w14:paraId="1BA713C0"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73AD7D12" w14:textId="77777777" w:rsidR="00D63C4D" w:rsidRDefault="00D63C4D" w:rsidP="00A669A4">
            <w:pPr>
              <w:pStyle w:val="TBodysubtotalNumber"/>
              <w:keepNext/>
            </w:pPr>
            <w:r>
              <w:t>954</w:t>
            </w:r>
          </w:p>
        </w:tc>
        <w:tc>
          <w:tcPr>
            <w:tcW w:w="119" w:type="dxa"/>
            <w:vAlign w:val="bottom"/>
          </w:tcPr>
          <w:p w14:paraId="61A410F3"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6E2B2C64" w14:textId="77777777" w:rsidR="00D63C4D" w:rsidRDefault="00D63C4D" w:rsidP="00A669A4">
            <w:pPr>
              <w:pStyle w:val="TBodysubtotalNumber"/>
              <w:keepNext/>
            </w:pPr>
            <w:r>
              <w:t>684</w:t>
            </w:r>
          </w:p>
        </w:tc>
        <w:tc>
          <w:tcPr>
            <w:tcW w:w="119" w:type="dxa"/>
            <w:vAlign w:val="bottom"/>
          </w:tcPr>
          <w:p w14:paraId="0952EAAC"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4D018327" w14:textId="77777777" w:rsidR="00D63C4D" w:rsidRDefault="00D63C4D" w:rsidP="00A669A4">
            <w:pPr>
              <w:pStyle w:val="TBodysubtotalNumber"/>
              <w:keepNext/>
            </w:pPr>
            <w:r>
              <w:t>-28</w:t>
            </w:r>
          </w:p>
        </w:tc>
      </w:tr>
      <w:tr w:rsidR="00D63C4D" w14:paraId="66576BAC" w14:textId="77777777" w:rsidTr="00A669A4">
        <w:trPr>
          <w:trHeight w:val="340"/>
        </w:trPr>
        <w:tc>
          <w:tcPr>
            <w:tcW w:w="2914" w:type="dxa"/>
            <w:tcBorders>
              <w:top w:val="single" w:sz="4" w:space="0" w:color="000000"/>
              <w:bottom w:val="single" w:sz="4" w:space="0" w:color="A59C94"/>
            </w:tcBorders>
            <w:vAlign w:val="bottom"/>
          </w:tcPr>
          <w:p w14:paraId="09753488" w14:textId="77777777" w:rsidR="00D63C4D" w:rsidRDefault="00D63C4D" w:rsidP="00A669A4">
            <w:pPr>
              <w:pStyle w:val="TBodynormalText"/>
            </w:pPr>
            <w:r>
              <w:t>Ertragsteuern</w:t>
            </w:r>
          </w:p>
        </w:tc>
        <w:tc>
          <w:tcPr>
            <w:tcW w:w="119" w:type="dxa"/>
            <w:vAlign w:val="bottom"/>
          </w:tcPr>
          <w:p w14:paraId="706CEADE"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1D7B3FF6" w14:textId="77777777" w:rsidR="00D63C4D" w:rsidRDefault="00D63C4D" w:rsidP="00A669A4">
            <w:pPr>
              <w:pStyle w:val="TBodynormalNumber"/>
              <w:keepNext/>
            </w:pPr>
            <w:r>
              <w:t>-26</w:t>
            </w:r>
          </w:p>
        </w:tc>
        <w:tc>
          <w:tcPr>
            <w:tcW w:w="119" w:type="dxa"/>
            <w:vAlign w:val="bottom"/>
          </w:tcPr>
          <w:p w14:paraId="1C5176D8"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7C48F1F7" w14:textId="77777777" w:rsidR="00D63C4D" w:rsidRDefault="00D63C4D" w:rsidP="00A669A4">
            <w:pPr>
              <w:pStyle w:val="TBodynormalNumber"/>
              <w:keepNext/>
            </w:pPr>
            <w:r>
              <w:t>-20</w:t>
            </w:r>
          </w:p>
        </w:tc>
        <w:tc>
          <w:tcPr>
            <w:tcW w:w="119" w:type="dxa"/>
            <w:vAlign w:val="bottom"/>
          </w:tcPr>
          <w:p w14:paraId="15778519"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2539C702" w14:textId="77777777" w:rsidR="00D63C4D" w:rsidRDefault="00D63C4D" w:rsidP="00A669A4">
            <w:pPr>
              <w:pStyle w:val="TBodynormalNumber"/>
              <w:keepNext/>
            </w:pPr>
          </w:p>
        </w:tc>
        <w:tc>
          <w:tcPr>
            <w:tcW w:w="119" w:type="dxa"/>
            <w:vAlign w:val="bottom"/>
          </w:tcPr>
          <w:p w14:paraId="349450AC"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38E7B21F" w14:textId="77777777" w:rsidR="00D63C4D" w:rsidRDefault="00D63C4D" w:rsidP="00A669A4">
            <w:pPr>
              <w:pStyle w:val="TBodynormalNumber"/>
              <w:keepNext/>
            </w:pPr>
            <w:r>
              <w:t>-180</w:t>
            </w:r>
          </w:p>
        </w:tc>
        <w:tc>
          <w:tcPr>
            <w:tcW w:w="119" w:type="dxa"/>
            <w:vAlign w:val="bottom"/>
          </w:tcPr>
          <w:p w14:paraId="2BA92EB9"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1472326C" w14:textId="77777777" w:rsidR="00D63C4D" w:rsidRDefault="00D63C4D" w:rsidP="00A669A4">
            <w:pPr>
              <w:pStyle w:val="TBodynormalNumber"/>
              <w:keepNext/>
            </w:pPr>
            <w:r>
              <w:t>-181</w:t>
            </w:r>
          </w:p>
        </w:tc>
        <w:tc>
          <w:tcPr>
            <w:tcW w:w="119" w:type="dxa"/>
            <w:vAlign w:val="bottom"/>
          </w:tcPr>
          <w:p w14:paraId="7C050A16"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6860D850" w14:textId="77777777" w:rsidR="00D63C4D" w:rsidRDefault="00D63C4D" w:rsidP="00A669A4">
            <w:pPr>
              <w:pStyle w:val="TBodynormalNumber"/>
              <w:keepNext/>
            </w:pPr>
          </w:p>
        </w:tc>
      </w:tr>
      <w:tr w:rsidR="00D63C4D" w14:paraId="77D11B36" w14:textId="77777777" w:rsidTr="00A669A4">
        <w:tc>
          <w:tcPr>
            <w:tcW w:w="2914" w:type="dxa"/>
            <w:tcBorders>
              <w:top w:val="single" w:sz="4" w:space="0" w:color="A59C94"/>
              <w:bottom w:val="single" w:sz="4" w:space="0" w:color="000000"/>
            </w:tcBorders>
            <w:vAlign w:val="bottom"/>
          </w:tcPr>
          <w:p w14:paraId="42CA93EE" w14:textId="77777777" w:rsidR="00D63C4D" w:rsidRDefault="00D63C4D" w:rsidP="00A669A4">
            <w:pPr>
              <w:pStyle w:val="TBodysubtotalText"/>
              <w:keepNext/>
            </w:pPr>
            <w:r>
              <w:t>Ergebnis nach Steuern fortgeführter Aktivitäten</w:t>
            </w:r>
          </w:p>
        </w:tc>
        <w:tc>
          <w:tcPr>
            <w:tcW w:w="119" w:type="dxa"/>
            <w:vAlign w:val="bottom"/>
          </w:tcPr>
          <w:p w14:paraId="7099E142"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5A638BF9" w14:textId="77777777" w:rsidR="00D63C4D" w:rsidRDefault="00D63C4D" w:rsidP="00A669A4">
            <w:pPr>
              <w:pStyle w:val="TBodysubtotalNumber"/>
              <w:keepNext/>
            </w:pPr>
            <w:r>
              <w:t>207</w:t>
            </w:r>
          </w:p>
        </w:tc>
        <w:tc>
          <w:tcPr>
            <w:tcW w:w="119" w:type="dxa"/>
            <w:vAlign w:val="bottom"/>
          </w:tcPr>
          <w:p w14:paraId="37FDB7FC"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1B8800F0" w14:textId="77777777" w:rsidR="00D63C4D" w:rsidRDefault="00D63C4D" w:rsidP="00A669A4">
            <w:pPr>
              <w:pStyle w:val="TBodysubtotalNumber"/>
              <w:keepNext/>
            </w:pPr>
            <w:r>
              <w:t>83</w:t>
            </w:r>
          </w:p>
        </w:tc>
        <w:tc>
          <w:tcPr>
            <w:tcW w:w="119" w:type="dxa"/>
            <w:vAlign w:val="bottom"/>
          </w:tcPr>
          <w:p w14:paraId="4B98A81E"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3A7651D4" w14:textId="77777777" w:rsidR="00D63C4D" w:rsidRDefault="00D63C4D" w:rsidP="00A669A4">
            <w:pPr>
              <w:pStyle w:val="TBodysubtotalNumber"/>
              <w:keepNext/>
            </w:pPr>
            <w:r>
              <w:t>-60</w:t>
            </w:r>
          </w:p>
        </w:tc>
        <w:tc>
          <w:tcPr>
            <w:tcW w:w="119" w:type="dxa"/>
            <w:vAlign w:val="bottom"/>
          </w:tcPr>
          <w:p w14:paraId="682DFE11"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4778BA07" w14:textId="77777777" w:rsidR="00D63C4D" w:rsidRDefault="00D63C4D" w:rsidP="00A669A4">
            <w:pPr>
              <w:pStyle w:val="TBodysubtotalNumber"/>
              <w:keepNext/>
            </w:pPr>
            <w:r>
              <w:t>774</w:t>
            </w:r>
          </w:p>
        </w:tc>
        <w:tc>
          <w:tcPr>
            <w:tcW w:w="119" w:type="dxa"/>
            <w:vAlign w:val="bottom"/>
          </w:tcPr>
          <w:p w14:paraId="7D856EF0"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02FDE993" w14:textId="77777777" w:rsidR="00D63C4D" w:rsidRDefault="00D63C4D" w:rsidP="00A669A4">
            <w:pPr>
              <w:pStyle w:val="TBodysubtotalNumber"/>
              <w:keepNext/>
            </w:pPr>
            <w:r>
              <w:t>503</w:t>
            </w:r>
          </w:p>
        </w:tc>
        <w:tc>
          <w:tcPr>
            <w:tcW w:w="119" w:type="dxa"/>
            <w:vAlign w:val="bottom"/>
          </w:tcPr>
          <w:p w14:paraId="61F64D98"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410BABF8" w14:textId="77777777" w:rsidR="00D63C4D" w:rsidRDefault="00D63C4D" w:rsidP="00A669A4">
            <w:pPr>
              <w:pStyle w:val="TBodysubtotalNumber"/>
              <w:keepNext/>
            </w:pPr>
            <w:r>
              <w:t>-35</w:t>
            </w:r>
          </w:p>
        </w:tc>
      </w:tr>
      <w:tr w:rsidR="00D63C4D" w14:paraId="3A70747E" w14:textId="77777777" w:rsidTr="00A669A4">
        <w:trPr>
          <w:trHeight w:val="340"/>
        </w:trPr>
        <w:tc>
          <w:tcPr>
            <w:tcW w:w="2914" w:type="dxa"/>
            <w:tcBorders>
              <w:top w:val="single" w:sz="4" w:space="0" w:color="000000"/>
              <w:bottom w:val="single" w:sz="4" w:space="0" w:color="A59C94"/>
            </w:tcBorders>
            <w:vAlign w:val="bottom"/>
          </w:tcPr>
          <w:p w14:paraId="2C0DE9D1" w14:textId="77777777" w:rsidR="00D63C4D" w:rsidRDefault="00D63C4D" w:rsidP="00A669A4">
            <w:pPr>
              <w:pStyle w:val="TBodynormalText"/>
            </w:pPr>
            <w:r>
              <w:t>Ergebnis nach Steuern nicht fortgeführter Aktivitäten</w:t>
            </w:r>
          </w:p>
        </w:tc>
        <w:tc>
          <w:tcPr>
            <w:tcW w:w="119" w:type="dxa"/>
            <w:vAlign w:val="bottom"/>
          </w:tcPr>
          <w:p w14:paraId="2CCFD2DD"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3BD93D41" w14:textId="77777777" w:rsidR="00D63C4D" w:rsidRDefault="00D63C4D" w:rsidP="00A669A4">
            <w:pPr>
              <w:pStyle w:val="TBodynormalNumber"/>
              <w:keepNext/>
            </w:pPr>
            <w:r>
              <w:t>-43</w:t>
            </w:r>
          </w:p>
        </w:tc>
        <w:tc>
          <w:tcPr>
            <w:tcW w:w="119" w:type="dxa"/>
            <w:vAlign w:val="bottom"/>
          </w:tcPr>
          <w:p w14:paraId="180FBFB5"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2F3A351B" w14:textId="77777777" w:rsidR="00D63C4D" w:rsidRDefault="00D63C4D" w:rsidP="00A669A4">
            <w:pPr>
              <w:pStyle w:val="TBodynormalNumber"/>
              <w:keepNext/>
            </w:pPr>
            <w:r>
              <w:t>-7</w:t>
            </w:r>
          </w:p>
        </w:tc>
        <w:tc>
          <w:tcPr>
            <w:tcW w:w="119" w:type="dxa"/>
            <w:vAlign w:val="bottom"/>
          </w:tcPr>
          <w:p w14:paraId="6714290B"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0B777BD7" w14:textId="77777777" w:rsidR="00D63C4D" w:rsidRDefault="00D63C4D" w:rsidP="00A669A4">
            <w:pPr>
              <w:pStyle w:val="TBodynormalNumber"/>
              <w:keepNext/>
            </w:pPr>
          </w:p>
        </w:tc>
        <w:tc>
          <w:tcPr>
            <w:tcW w:w="119" w:type="dxa"/>
            <w:vAlign w:val="bottom"/>
          </w:tcPr>
          <w:p w14:paraId="01D6AFB7"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241FB355" w14:textId="77777777" w:rsidR="00D63C4D" w:rsidRDefault="00D63C4D" w:rsidP="00A669A4">
            <w:pPr>
              <w:pStyle w:val="TBodynormalNumber"/>
              <w:keepNext/>
            </w:pPr>
            <w:r>
              <w:t>1.353</w:t>
            </w:r>
          </w:p>
        </w:tc>
        <w:tc>
          <w:tcPr>
            <w:tcW w:w="119" w:type="dxa"/>
            <w:vAlign w:val="bottom"/>
          </w:tcPr>
          <w:p w14:paraId="6F2F9207"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0F0218B2" w14:textId="77777777" w:rsidR="00D63C4D" w:rsidRDefault="00D63C4D" w:rsidP="00A669A4">
            <w:pPr>
              <w:pStyle w:val="TBodynormalNumber"/>
              <w:keepNext/>
            </w:pPr>
            <w:r>
              <w:t>-24</w:t>
            </w:r>
          </w:p>
        </w:tc>
        <w:tc>
          <w:tcPr>
            <w:tcW w:w="119" w:type="dxa"/>
            <w:vAlign w:val="bottom"/>
          </w:tcPr>
          <w:p w14:paraId="5E7A2BC5"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0FEE0CDF" w14:textId="77777777" w:rsidR="00D63C4D" w:rsidRDefault="00D63C4D" w:rsidP="00A669A4">
            <w:pPr>
              <w:pStyle w:val="TBodynormalNumber"/>
              <w:keepNext/>
            </w:pPr>
          </w:p>
        </w:tc>
      </w:tr>
      <w:tr w:rsidR="00D63C4D" w14:paraId="65142B1C" w14:textId="77777777" w:rsidTr="00A669A4">
        <w:tc>
          <w:tcPr>
            <w:tcW w:w="2914" w:type="dxa"/>
            <w:tcBorders>
              <w:top w:val="single" w:sz="4" w:space="0" w:color="A59C94"/>
              <w:bottom w:val="single" w:sz="4" w:space="0" w:color="000000"/>
            </w:tcBorders>
            <w:vAlign w:val="bottom"/>
          </w:tcPr>
          <w:p w14:paraId="0731E96F" w14:textId="77777777" w:rsidR="00D63C4D" w:rsidRDefault="00D63C4D" w:rsidP="00A669A4">
            <w:pPr>
              <w:pStyle w:val="TBodysubtotalText"/>
              <w:keepNext/>
            </w:pPr>
            <w:r>
              <w:t>Ergebnis nach Steuern</w:t>
            </w:r>
          </w:p>
        </w:tc>
        <w:tc>
          <w:tcPr>
            <w:tcW w:w="119" w:type="dxa"/>
            <w:vAlign w:val="bottom"/>
          </w:tcPr>
          <w:p w14:paraId="20D4EAC4"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233F37D3" w14:textId="77777777" w:rsidR="00D63C4D" w:rsidRDefault="00D63C4D" w:rsidP="00A669A4">
            <w:pPr>
              <w:pStyle w:val="TBodysubtotalNumber"/>
              <w:keepNext/>
            </w:pPr>
            <w:r>
              <w:t>164</w:t>
            </w:r>
          </w:p>
        </w:tc>
        <w:tc>
          <w:tcPr>
            <w:tcW w:w="119" w:type="dxa"/>
            <w:vAlign w:val="bottom"/>
          </w:tcPr>
          <w:p w14:paraId="4B4D4C3B"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6F723E36" w14:textId="77777777" w:rsidR="00D63C4D" w:rsidRDefault="00D63C4D" w:rsidP="00A669A4">
            <w:pPr>
              <w:pStyle w:val="TBodysubtotalNumber"/>
              <w:keepNext/>
            </w:pPr>
            <w:r>
              <w:t>76</w:t>
            </w:r>
          </w:p>
        </w:tc>
        <w:tc>
          <w:tcPr>
            <w:tcW w:w="119" w:type="dxa"/>
            <w:vAlign w:val="bottom"/>
          </w:tcPr>
          <w:p w14:paraId="0CC98219"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2990C2E3" w14:textId="77777777" w:rsidR="00D63C4D" w:rsidRDefault="00D63C4D" w:rsidP="00A669A4">
            <w:pPr>
              <w:pStyle w:val="TBodysubtotalNumber"/>
              <w:keepNext/>
            </w:pPr>
            <w:r>
              <w:t>-54</w:t>
            </w:r>
          </w:p>
        </w:tc>
        <w:tc>
          <w:tcPr>
            <w:tcW w:w="119" w:type="dxa"/>
            <w:vAlign w:val="bottom"/>
          </w:tcPr>
          <w:p w14:paraId="31915515"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2F79DF92" w14:textId="77777777" w:rsidR="00D63C4D" w:rsidRDefault="00D63C4D" w:rsidP="00A669A4">
            <w:pPr>
              <w:pStyle w:val="TBodysubtotalNumber"/>
              <w:keepNext/>
            </w:pPr>
            <w:r>
              <w:t>2.127</w:t>
            </w:r>
          </w:p>
        </w:tc>
        <w:tc>
          <w:tcPr>
            <w:tcW w:w="119" w:type="dxa"/>
            <w:vAlign w:val="bottom"/>
          </w:tcPr>
          <w:p w14:paraId="7182AED1"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3D796C68" w14:textId="77777777" w:rsidR="00D63C4D" w:rsidRDefault="00D63C4D" w:rsidP="00A669A4">
            <w:pPr>
              <w:pStyle w:val="TBodysubtotalNumber"/>
              <w:keepNext/>
            </w:pPr>
            <w:r>
              <w:t>479</w:t>
            </w:r>
          </w:p>
        </w:tc>
        <w:tc>
          <w:tcPr>
            <w:tcW w:w="119" w:type="dxa"/>
            <w:vAlign w:val="bottom"/>
          </w:tcPr>
          <w:p w14:paraId="76409B95"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279DA01C" w14:textId="77777777" w:rsidR="00D63C4D" w:rsidRDefault="00D63C4D" w:rsidP="00A669A4">
            <w:pPr>
              <w:pStyle w:val="TBodysubtotalNumber"/>
              <w:keepNext/>
            </w:pPr>
            <w:r>
              <w:t>-77</w:t>
            </w:r>
          </w:p>
        </w:tc>
      </w:tr>
      <w:tr w:rsidR="00D63C4D" w14:paraId="3BE22791" w14:textId="77777777" w:rsidTr="00A669A4">
        <w:trPr>
          <w:trHeight w:val="340"/>
        </w:trPr>
        <w:tc>
          <w:tcPr>
            <w:tcW w:w="2914" w:type="dxa"/>
            <w:tcBorders>
              <w:top w:val="single" w:sz="4" w:space="0" w:color="000000"/>
              <w:bottom w:val="single" w:sz="4" w:space="0" w:color="A59C94"/>
            </w:tcBorders>
            <w:vAlign w:val="bottom"/>
          </w:tcPr>
          <w:p w14:paraId="51C6C250" w14:textId="77777777" w:rsidR="00D63C4D" w:rsidRDefault="00D63C4D" w:rsidP="00A669A4">
            <w:pPr>
              <w:pStyle w:val="TBodynormalText"/>
            </w:pPr>
            <w:r>
              <w:t>Davon Ergebnis anderer Gesellschafter</w:t>
            </w:r>
          </w:p>
        </w:tc>
        <w:tc>
          <w:tcPr>
            <w:tcW w:w="119" w:type="dxa"/>
            <w:vAlign w:val="bottom"/>
          </w:tcPr>
          <w:p w14:paraId="51195B8A"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54D9AD39" w14:textId="77777777" w:rsidR="00D63C4D" w:rsidRDefault="00D63C4D" w:rsidP="00A669A4">
            <w:pPr>
              <w:pStyle w:val="TBodynormalNumber"/>
              <w:keepNext/>
            </w:pPr>
            <w:r>
              <w:t>4</w:t>
            </w:r>
          </w:p>
        </w:tc>
        <w:tc>
          <w:tcPr>
            <w:tcW w:w="119" w:type="dxa"/>
            <w:vAlign w:val="bottom"/>
          </w:tcPr>
          <w:p w14:paraId="3DD759B8"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0999C4E9" w14:textId="77777777" w:rsidR="00D63C4D" w:rsidRDefault="00D63C4D" w:rsidP="00A669A4">
            <w:pPr>
              <w:pStyle w:val="TBodynormalNumber"/>
              <w:keepNext/>
            </w:pPr>
            <w:r>
              <w:t>3</w:t>
            </w:r>
          </w:p>
        </w:tc>
        <w:tc>
          <w:tcPr>
            <w:tcW w:w="119" w:type="dxa"/>
            <w:vAlign w:val="bottom"/>
          </w:tcPr>
          <w:p w14:paraId="6B23C2AF"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55F09B93" w14:textId="77777777" w:rsidR="00D63C4D" w:rsidRDefault="00D63C4D" w:rsidP="00A669A4">
            <w:pPr>
              <w:pStyle w:val="TBodynormalNumber"/>
              <w:keepNext/>
            </w:pPr>
          </w:p>
        </w:tc>
        <w:tc>
          <w:tcPr>
            <w:tcW w:w="119" w:type="dxa"/>
            <w:vAlign w:val="bottom"/>
          </w:tcPr>
          <w:p w14:paraId="0A8D34BE"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662D046F" w14:textId="77777777" w:rsidR="00D63C4D" w:rsidRDefault="00D63C4D" w:rsidP="00A669A4">
            <w:pPr>
              <w:pStyle w:val="TBodynormalNumber"/>
              <w:keepNext/>
            </w:pPr>
            <w:r>
              <w:t>21</w:t>
            </w:r>
          </w:p>
        </w:tc>
        <w:tc>
          <w:tcPr>
            <w:tcW w:w="119" w:type="dxa"/>
            <w:vAlign w:val="bottom"/>
          </w:tcPr>
          <w:p w14:paraId="681004FE"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499C68FA" w14:textId="77777777" w:rsidR="00D63C4D" w:rsidRDefault="00D63C4D" w:rsidP="00A669A4">
            <w:pPr>
              <w:pStyle w:val="TBodynormalNumber"/>
              <w:keepNext/>
            </w:pPr>
            <w:r>
              <w:t>14</w:t>
            </w:r>
          </w:p>
        </w:tc>
        <w:tc>
          <w:tcPr>
            <w:tcW w:w="119" w:type="dxa"/>
            <w:vAlign w:val="bottom"/>
          </w:tcPr>
          <w:p w14:paraId="10741D75"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519AD4CA" w14:textId="77777777" w:rsidR="00D63C4D" w:rsidRDefault="00D63C4D" w:rsidP="00A669A4">
            <w:pPr>
              <w:pStyle w:val="TBodynormalNumber"/>
              <w:keepNext/>
            </w:pPr>
          </w:p>
        </w:tc>
      </w:tr>
      <w:tr w:rsidR="00D63C4D" w14:paraId="2A02B0CC" w14:textId="77777777" w:rsidTr="00A669A4">
        <w:tc>
          <w:tcPr>
            <w:tcW w:w="2914" w:type="dxa"/>
            <w:tcBorders>
              <w:top w:val="single" w:sz="4" w:space="0" w:color="A59C94"/>
              <w:bottom w:val="single" w:sz="4" w:space="0" w:color="000000"/>
            </w:tcBorders>
            <w:vAlign w:val="bottom"/>
          </w:tcPr>
          <w:p w14:paraId="6E14CBE0" w14:textId="77777777" w:rsidR="00D63C4D" w:rsidRDefault="00D63C4D" w:rsidP="00A669A4">
            <w:pPr>
              <w:pStyle w:val="TBodysubtotalText"/>
              <w:keepNext/>
            </w:pPr>
            <w:r>
              <w:t>Konzernergebnis</w:t>
            </w:r>
          </w:p>
        </w:tc>
        <w:tc>
          <w:tcPr>
            <w:tcW w:w="119" w:type="dxa"/>
            <w:vAlign w:val="bottom"/>
          </w:tcPr>
          <w:p w14:paraId="2EDE474A"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20619F8D" w14:textId="77777777" w:rsidR="00D63C4D" w:rsidRDefault="00D63C4D" w:rsidP="00A669A4">
            <w:pPr>
              <w:pStyle w:val="TBodysubtotalNumber"/>
              <w:keepNext/>
            </w:pPr>
            <w:r>
              <w:t>160</w:t>
            </w:r>
          </w:p>
        </w:tc>
        <w:tc>
          <w:tcPr>
            <w:tcW w:w="119" w:type="dxa"/>
            <w:vAlign w:val="bottom"/>
          </w:tcPr>
          <w:p w14:paraId="5C32AA81"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1EC3FF3E" w14:textId="77777777" w:rsidR="00D63C4D" w:rsidRDefault="00D63C4D" w:rsidP="00A669A4">
            <w:pPr>
              <w:pStyle w:val="TBodysubtotalNumber"/>
              <w:keepNext/>
            </w:pPr>
            <w:r>
              <w:t>73</w:t>
            </w:r>
          </w:p>
        </w:tc>
        <w:tc>
          <w:tcPr>
            <w:tcW w:w="119" w:type="dxa"/>
            <w:vAlign w:val="bottom"/>
          </w:tcPr>
          <w:p w14:paraId="6023A1F9"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5209ACFD" w14:textId="77777777" w:rsidR="00D63C4D" w:rsidRDefault="00D63C4D" w:rsidP="00A669A4">
            <w:pPr>
              <w:pStyle w:val="TBodysubtotalNumber"/>
              <w:keepNext/>
            </w:pPr>
            <w:r>
              <w:t>-54</w:t>
            </w:r>
          </w:p>
        </w:tc>
        <w:tc>
          <w:tcPr>
            <w:tcW w:w="119" w:type="dxa"/>
            <w:vAlign w:val="bottom"/>
          </w:tcPr>
          <w:p w14:paraId="583E5674"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6A87733C" w14:textId="77777777" w:rsidR="00D63C4D" w:rsidRDefault="00D63C4D" w:rsidP="00A669A4">
            <w:pPr>
              <w:pStyle w:val="TBodysubtotalNumber"/>
              <w:keepNext/>
            </w:pPr>
            <w:r>
              <w:t>2.106</w:t>
            </w:r>
          </w:p>
        </w:tc>
        <w:tc>
          <w:tcPr>
            <w:tcW w:w="119" w:type="dxa"/>
            <w:vAlign w:val="bottom"/>
          </w:tcPr>
          <w:p w14:paraId="695CAF7E" w14:textId="77777777" w:rsidR="00D63C4D" w:rsidRDefault="00D63C4D"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23C567CA" w14:textId="77777777" w:rsidR="00D63C4D" w:rsidRDefault="00D63C4D" w:rsidP="00A669A4">
            <w:pPr>
              <w:pStyle w:val="TBodysubtotalNumber"/>
              <w:keepNext/>
            </w:pPr>
            <w:r>
              <w:t>465</w:t>
            </w:r>
          </w:p>
        </w:tc>
        <w:tc>
          <w:tcPr>
            <w:tcW w:w="119" w:type="dxa"/>
            <w:vAlign w:val="bottom"/>
          </w:tcPr>
          <w:p w14:paraId="672B8340" w14:textId="77777777" w:rsidR="00D63C4D" w:rsidRDefault="00D63C4D" w:rsidP="00A669A4">
            <w:pPr>
              <w:pStyle w:val="TBodysubtotalNumber"/>
              <w:keepNext/>
            </w:pPr>
          </w:p>
        </w:tc>
        <w:tc>
          <w:tcPr>
            <w:tcW w:w="1021" w:type="dxa"/>
            <w:tcBorders>
              <w:top w:val="single" w:sz="4" w:space="0" w:color="A59C94"/>
              <w:bottom w:val="single" w:sz="4" w:space="0" w:color="000000"/>
            </w:tcBorders>
            <w:vAlign w:val="bottom"/>
          </w:tcPr>
          <w:p w14:paraId="0B572A69" w14:textId="77777777" w:rsidR="00D63C4D" w:rsidRDefault="00D63C4D" w:rsidP="00A669A4">
            <w:pPr>
              <w:pStyle w:val="TBodysubtotalNumber"/>
              <w:keepNext/>
            </w:pPr>
            <w:r>
              <w:t>-78</w:t>
            </w:r>
          </w:p>
        </w:tc>
      </w:tr>
      <w:tr w:rsidR="00D63C4D" w14:paraId="1E8303AF" w14:textId="77777777" w:rsidTr="00A669A4">
        <w:trPr>
          <w:trHeight w:val="340"/>
        </w:trPr>
        <w:tc>
          <w:tcPr>
            <w:tcW w:w="2914" w:type="dxa"/>
            <w:tcBorders>
              <w:top w:val="single" w:sz="4" w:space="0" w:color="000000"/>
              <w:bottom w:val="single" w:sz="16" w:space="0" w:color="991D85"/>
            </w:tcBorders>
            <w:vAlign w:val="bottom"/>
          </w:tcPr>
          <w:p w14:paraId="444553DB" w14:textId="77777777" w:rsidR="00D63C4D" w:rsidRDefault="00D63C4D" w:rsidP="00A669A4">
            <w:pPr>
              <w:pStyle w:val="TBodynormalText"/>
            </w:pPr>
            <w:r>
              <w:rPr>
                <w:b/>
              </w:rPr>
              <w:t>Bereinigtes Konzernergebnis</w:t>
            </w:r>
          </w:p>
        </w:tc>
        <w:tc>
          <w:tcPr>
            <w:tcW w:w="119" w:type="dxa"/>
            <w:tcBorders>
              <w:bottom w:val="single" w:sz="16" w:space="0" w:color="991D85"/>
            </w:tcBorders>
            <w:vAlign w:val="bottom"/>
          </w:tcPr>
          <w:p w14:paraId="32AED8EB" w14:textId="77777777" w:rsidR="00D63C4D" w:rsidRDefault="00D63C4D" w:rsidP="00A669A4">
            <w:pPr>
              <w:pStyle w:val="TBodynormalNumber"/>
              <w:keepNext/>
            </w:pPr>
          </w:p>
        </w:tc>
        <w:tc>
          <w:tcPr>
            <w:tcW w:w="1021" w:type="dxa"/>
            <w:tcBorders>
              <w:top w:val="single" w:sz="4" w:space="0" w:color="000000"/>
              <w:bottom w:val="single" w:sz="16" w:space="0" w:color="991D85"/>
            </w:tcBorders>
            <w:vAlign w:val="bottom"/>
          </w:tcPr>
          <w:p w14:paraId="78C47979" w14:textId="77777777" w:rsidR="00D63C4D" w:rsidRDefault="00D63C4D" w:rsidP="00A669A4">
            <w:pPr>
              <w:pStyle w:val="TBodynormalNumber"/>
              <w:keepNext/>
            </w:pPr>
            <w:r>
              <w:rPr>
                <w:b/>
              </w:rPr>
              <w:t>231</w:t>
            </w:r>
          </w:p>
        </w:tc>
        <w:tc>
          <w:tcPr>
            <w:tcW w:w="119" w:type="dxa"/>
            <w:tcBorders>
              <w:bottom w:val="single" w:sz="16" w:space="0" w:color="991D85"/>
            </w:tcBorders>
            <w:vAlign w:val="bottom"/>
          </w:tcPr>
          <w:p w14:paraId="24750973" w14:textId="77777777" w:rsidR="00D63C4D" w:rsidRDefault="00D63C4D" w:rsidP="00A669A4">
            <w:pPr>
              <w:pStyle w:val="TBodynormalNumber"/>
              <w:keepNext/>
            </w:pPr>
          </w:p>
        </w:tc>
        <w:tc>
          <w:tcPr>
            <w:tcW w:w="1021" w:type="dxa"/>
            <w:tcBorders>
              <w:top w:val="single" w:sz="4" w:space="0" w:color="000000"/>
              <w:bottom w:val="single" w:sz="16" w:space="0" w:color="991D85"/>
            </w:tcBorders>
            <w:shd w:val="clear" w:color="000000" w:fill="DAD5C9"/>
            <w:vAlign w:val="bottom"/>
          </w:tcPr>
          <w:p w14:paraId="38F8493C" w14:textId="77777777" w:rsidR="00D63C4D" w:rsidRDefault="00D63C4D" w:rsidP="00A669A4">
            <w:pPr>
              <w:pStyle w:val="TBodynormalNumber"/>
              <w:keepNext/>
            </w:pPr>
            <w:r>
              <w:rPr>
                <w:b/>
              </w:rPr>
              <w:t>114</w:t>
            </w:r>
          </w:p>
        </w:tc>
        <w:tc>
          <w:tcPr>
            <w:tcW w:w="119" w:type="dxa"/>
            <w:tcBorders>
              <w:bottom w:val="single" w:sz="16" w:space="0" w:color="991D85"/>
            </w:tcBorders>
            <w:vAlign w:val="bottom"/>
          </w:tcPr>
          <w:p w14:paraId="281E4F13" w14:textId="77777777" w:rsidR="00D63C4D" w:rsidRDefault="00D63C4D" w:rsidP="00A669A4">
            <w:pPr>
              <w:pStyle w:val="TBodynormalNumber"/>
              <w:keepNext/>
            </w:pPr>
          </w:p>
        </w:tc>
        <w:tc>
          <w:tcPr>
            <w:tcW w:w="1021" w:type="dxa"/>
            <w:tcBorders>
              <w:top w:val="single" w:sz="4" w:space="0" w:color="000000"/>
              <w:bottom w:val="single" w:sz="16" w:space="0" w:color="991D85"/>
            </w:tcBorders>
            <w:vAlign w:val="bottom"/>
          </w:tcPr>
          <w:p w14:paraId="2DCC624C" w14:textId="77777777" w:rsidR="00D63C4D" w:rsidRDefault="00D63C4D" w:rsidP="00A669A4">
            <w:pPr>
              <w:pStyle w:val="TBodynormalNumber"/>
              <w:keepNext/>
            </w:pPr>
            <w:r>
              <w:rPr>
                <w:b/>
              </w:rPr>
              <w:t>-51</w:t>
            </w:r>
          </w:p>
        </w:tc>
        <w:tc>
          <w:tcPr>
            <w:tcW w:w="119" w:type="dxa"/>
            <w:tcBorders>
              <w:bottom w:val="single" w:sz="16" w:space="0" w:color="991D85"/>
            </w:tcBorders>
            <w:vAlign w:val="bottom"/>
          </w:tcPr>
          <w:p w14:paraId="14E3C1A6" w14:textId="77777777" w:rsidR="00D63C4D" w:rsidRDefault="00D63C4D" w:rsidP="00A669A4">
            <w:pPr>
              <w:pStyle w:val="TBodynormalNumber"/>
              <w:keepNext/>
            </w:pPr>
          </w:p>
        </w:tc>
        <w:tc>
          <w:tcPr>
            <w:tcW w:w="1021" w:type="dxa"/>
            <w:tcBorders>
              <w:top w:val="single" w:sz="4" w:space="0" w:color="000000"/>
              <w:bottom w:val="single" w:sz="16" w:space="0" w:color="991D85"/>
            </w:tcBorders>
            <w:vAlign w:val="bottom"/>
          </w:tcPr>
          <w:p w14:paraId="0088AE16" w14:textId="77777777" w:rsidR="00D63C4D" w:rsidRDefault="00D63C4D" w:rsidP="00A669A4">
            <w:pPr>
              <w:pStyle w:val="TBodynormalNumber"/>
              <w:keepNext/>
            </w:pPr>
            <w:r>
              <w:rPr>
                <w:b/>
              </w:rPr>
              <w:t>902</w:t>
            </w:r>
          </w:p>
        </w:tc>
        <w:tc>
          <w:tcPr>
            <w:tcW w:w="119" w:type="dxa"/>
            <w:tcBorders>
              <w:bottom w:val="single" w:sz="16" w:space="0" w:color="991D85"/>
            </w:tcBorders>
            <w:vAlign w:val="bottom"/>
          </w:tcPr>
          <w:p w14:paraId="168B3EFD" w14:textId="77777777" w:rsidR="00D63C4D" w:rsidRDefault="00D63C4D" w:rsidP="00A669A4">
            <w:pPr>
              <w:pStyle w:val="TBodynormalNumber"/>
              <w:keepNext/>
            </w:pPr>
          </w:p>
        </w:tc>
        <w:tc>
          <w:tcPr>
            <w:tcW w:w="1021" w:type="dxa"/>
            <w:tcBorders>
              <w:top w:val="single" w:sz="4" w:space="0" w:color="000000"/>
              <w:bottom w:val="single" w:sz="16" w:space="0" w:color="991D85"/>
            </w:tcBorders>
            <w:shd w:val="clear" w:color="000000" w:fill="DAD5C9"/>
            <w:vAlign w:val="bottom"/>
          </w:tcPr>
          <w:p w14:paraId="76FC1DD7" w14:textId="77777777" w:rsidR="00D63C4D" w:rsidRDefault="00D63C4D" w:rsidP="00A669A4">
            <w:pPr>
              <w:pStyle w:val="TBodynormalNumber"/>
              <w:keepNext/>
            </w:pPr>
            <w:r>
              <w:rPr>
                <w:b/>
              </w:rPr>
              <w:t>640</w:t>
            </w:r>
          </w:p>
        </w:tc>
        <w:tc>
          <w:tcPr>
            <w:tcW w:w="119" w:type="dxa"/>
            <w:tcBorders>
              <w:bottom w:val="single" w:sz="16" w:space="0" w:color="991D85"/>
            </w:tcBorders>
            <w:vAlign w:val="bottom"/>
          </w:tcPr>
          <w:p w14:paraId="4111B3B5" w14:textId="77777777" w:rsidR="00D63C4D" w:rsidRDefault="00D63C4D" w:rsidP="00A669A4">
            <w:pPr>
              <w:pStyle w:val="TBodynormalNumber"/>
              <w:keepNext/>
            </w:pPr>
          </w:p>
        </w:tc>
        <w:tc>
          <w:tcPr>
            <w:tcW w:w="1021" w:type="dxa"/>
            <w:tcBorders>
              <w:top w:val="single" w:sz="4" w:space="0" w:color="000000"/>
              <w:bottom w:val="single" w:sz="16" w:space="0" w:color="991D85"/>
            </w:tcBorders>
            <w:vAlign w:val="bottom"/>
          </w:tcPr>
          <w:p w14:paraId="5F280CE1" w14:textId="77777777" w:rsidR="00D63C4D" w:rsidRDefault="00D63C4D" w:rsidP="00A669A4">
            <w:pPr>
              <w:pStyle w:val="TBodynormalNumber"/>
              <w:keepNext/>
            </w:pPr>
            <w:r>
              <w:rPr>
                <w:b/>
              </w:rPr>
              <w:t>-29</w:t>
            </w:r>
          </w:p>
        </w:tc>
      </w:tr>
      <w:bookmarkEnd w:id="7"/>
      <w:bookmarkEnd w:id="8"/>
    </w:tbl>
    <w:p w14:paraId="2331124A" w14:textId="77777777" w:rsidR="00D63C4D" w:rsidRDefault="00D63C4D" w:rsidP="00D63C4D"/>
    <w:p w14:paraId="2C975FD3" w14:textId="77777777" w:rsidR="00D63C4D" w:rsidRDefault="00D63C4D" w:rsidP="00D63C4D"/>
    <w:tbl>
      <w:tblPr>
        <w:tblW w:w="0" w:type="dxa"/>
        <w:tblLayout w:type="fixed"/>
        <w:tblCellMar>
          <w:left w:w="0" w:type="dxa"/>
          <w:right w:w="0" w:type="dxa"/>
        </w:tblCellMar>
        <w:tblLook w:val="04A0" w:firstRow="1" w:lastRow="0" w:firstColumn="1" w:lastColumn="0" w:noHBand="0" w:noVBand="1"/>
        <w:tblCaption w:val="Tabelle: Pressemitteilung deutsch!outarea_seg_quartal"/>
        <w:tblDescription w:val="SNEID_8273ff9e3da44f98befcb847952c6429"/>
      </w:tblPr>
      <w:tblGrid>
        <w:gridCol w:w="2914"/>
        <w:gridCol w:w="119"/>
        <w:gridCol w:w="1021"/>
        <w:gridCol w:w="119"/>
        <w:gridCol w:w="1021"/>
        <w:gridCol w:w="119"/>
        <w:gridCol w:w="1021"/>
        <w:gridCol w:w="119"/>
        <w:gridCol w:w="1021"/>
        <w:gridCol w:w="119"/>
        <w:gridCol w:w="1021"/>
        <w:gridCol w:w="119"/>
        <w:gridCol w:w="1021"/>
      </w:tblGrid>
      <w:tr w:rsidR="00D63C4D" w14:paraId="36A6FE61" w14:textId="77777777" w:rsidTr="00A669A4">
        <w:tc>
          <w:tcPr>
            <w:tcW w:w="9754" w:type="dxa"/>
            <w:gridSpan w:val="13"/>
            <w:vAlign w:val="bottom"/>
          </w:tcPr>
          <w:p w14:paraId="4643EB4F" w14:textId="77777777" w:rsidR="00D63C4D" w:rsidRPr="00E23F68" w:rsidRDefault="00D63C4D" w:rsidP="00A669A4">
            <w:pPr>
              <w:pStyle w:val="TTitleText"/>
              <w:rPr>
                <w:lang w:val="de-DE"/>
              </w:rPr>
            </w:pPr>
            <w:bookmarkStart w:id="9" w:name="SNEID_8273ff9e3da44f98befcb847952c6429"/>
            <w:bookmarkStart w:id="10" w:name="SNAMD_51e829b4590946438de44be76413b89f"/>
            <w:r w:rsidRPr="00E23F68">
              <w:rPr>
                <w:lang w:val="de-DE"/>
              </w:rPr>
              <w:t>Entwicklung in den Segmenten - 4. Quartal</w:t>
            </w:r>
          </w:p>
        </w:tc>
      </w:tr>
      <w:tr w:rsidR="00D63C4D" w14:paraId="1A6E27E1" w14:textId="77777777" w:rsidTr="00A669A4">
        <w:tc>
          <w:tcPr>
            <w:tcW w:w="2914" w:type="dxa"/>
            <w:tcBorders>
              <w:top w:val="single" w:sz="8" w:space="0" w:color="000000"/>
            </w:tcBorders>
            <w:vAlign w:val="bottom"/>
          </w:tcPr>
          <w:p w14:paraId="3F79B06C"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3A71E944"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3F0E9ADD"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2E57DCDD"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7BC0D62F"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2FE5C95A"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1D6A5A57"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14186A83"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07BAF232"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29EA0A09"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128FB2A5"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2DC52056"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7E764626" w14:textId="77777777" w:rsidR="00D63C4D" w:rsidRPr="00E23F68" w:rsidRDefault="00D63C4D" w:rsidP="00A669A4">
            <w:pPr>
              <w:pStyle w:val="TDummy"/>
              <w:keepNext/>
              <w:rPr>
                <w:lang w:val="de-DE"/>
              </w:rPr>
            </w:pPr>
          </w:p>
        </w:tc>
      </w:tr>
      <w:tr w:rsidR="00D63C4D" w14:paraId="6F2298BB" w14:textId="77777777" w:rsidTr="00A669A4">
        <w:tc>
          <w:tcPr>
            <w:tcW w:w="2914" w:type="dxa"/>
            <w:shd w:val="clear" w:color="000000" w:fill="FFFFFF"/>
            <w:vAlign w:val="bottom"/>
          </w:tcPr>
          <w:p w14:paraId="0EFC90D3" w14:textId="77777777" w:rsidR="00D63C4D" w:rsidRDefault="00D63C4D" w:rsidP="00A669A4">
            <w:pPr>
              <w:pStyle w:val="THeadfirstNumber"/>
            </w:pPr>
          </w:p>
        </w:tc>
        <w:tc>
          <w:tcPr>
            <w:tcW w:w="119" w:type="dxa"/>
            <w:vAlign w:val="bottom"/>
          </w:tcPr>
          <w:p w14:paraId="0A4C96F8" w14:textId="77777777" w:rsidR="00D63C4D" w:rsidRDefault="00D63C4D" w:rsidP="00A669A4">
            <w:pPr>
              <w:pStyle w:val="THeadfirstNumber"/>
            </w:pPr>
          </w:p>
        </w:tc>
        <w:tc>
          <w:tcPr>
            <w:tcW w:w="3301" w:type="dxa"/>
            <w:gridSpan w:val="5"/>
            <w:tcBorders>
              <w:bottom w:val="single" w:sz="4" w:space="0" w:color="A59C94"/>
            </w:tcBorders>
            <w:shd w:val="clear" w:color="000000" w:fill="FFFFFF"/>
            <w:vAlign w:val="bottom"/>
          </w:tcPr>
          <w:p w14:paraId="374850EE" w14:textId="77777777" w:rsidR="00D63C4D" w:rsidRDefault="00D63C4D" w:rsidP="00A669A4">
            <w:pPr>
              <w:pStyle w:val="THeadfirstNumber"/>
            </w:pPr>
            <w:r>
              <w:t>Umsatz</w:t>
            </w:r>
          </w:p>
        </w:tc>
        <w:tc>
          <w:tcPr>
            <w:tcW w:w="119" w:type="dxa"/>
            <w:vAlign w:val="bottom"/>
          </w:tcPr>
          <w:p w14:paraId="6C559413" w14:textId="77777777" w:rsidR="00D63C4D" w:rsidRDefault="00D63C4D" w:rsidP="00A669A4">
            <w:pPr>
              <w:pStyle w:val="THeadfirstNumber"/>
            </w:pPr>
          </w:p>
        </w:tc>
        <w:tc>
          <w:tcPr>
            <w:tcW w:w="3301" w:type="dxa"/>
            <w:gridSpan w:val="5"/>
            <w:tcBorders>
              <w:bottom w:val="single" w:sz="4" w:space="0" w:color="A59C94"/>
            </w:tcBorders>
            <w:shd w:val="clear" w:color="000000" w:fill="FFFFFF"/>
            <w:vAlign w:val="bottom"/>
          </w:tcPr>
          <w:p w14:paraId="2A1E8009" w14:textId="77777777" w:rsidR="00D63C4D" w:rsidRDefault="00D63C4D" w:rsidP="00A669A4">
            <w:pPr>
              <w:pStyle w:val="THeadfirstNumber"/>
            </w:pPr>
            <w:r>
              <w:t>Bereinigtes EBITDA</w:t>
            </w:r>
          </w:p>
        </w:tc>
      </w:tr>
      <w:tr w:rsidR="00D63C4D" w14:paraId="4BF31C40" w14:textId="77777777" w:rsidTr="00A669A4">
        <w:tc>
          <w:tcPr>
            <w:tcW w:w="2914" w:type="dxa"/>
            <w:tcBorders>
              <w:bottom w:val="single" w:sz="4" w:space="0" w:color="000000"/>
            </w:tcBorders>
            <w:shd w:val="clear" w:color="000000" w:fill="FFFFFF"/>
            <w:vAlign w:val="bottom"/>
          </w:tcPr>
          <w:p w14:paraId="1D4A385E" w14:textId="77777777" w:rsidR="00D63C4D" w:rsidRDefault="00D63C4D" w:rsidP="00A669A4">
            <w:pPr>
              <w:pStyle w:val="THeadlastText"/>
            </w:pPr>
            <w:r>
              <w:t>in Millionen €</w:t>
            </w:r>
          </w:p>
        </w:tc>
        <w:tc>
          <w:tcPr>
            <w:tcW w:w="119" w:type="dxa"/>
            <w:vAlign w:val="bottom"/>
          </w:tcPr>
          <w:p w14:paraId="4361407F"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04F41385" w14:textId="77777777" w:rsidR="00D63C4D" w:rsidRDefault="00D63C4D" w:rsidP="00A669A4">
            <w:pPr>
              <w:pStyle w:val="THeadlastNumber"/>
            </w:pPr>
            <w:r>
              <w:t>2019</w:t>
            </w:r>
          </w:p>
        </w:tc>
        <w:tc>
          <w:tcPr>
            <w:tcW w:w="119" w:type="dxa"/>
            <w:vAlign w:val="bottom"/>
          </w:tcPr>
          <w:p w14:paraId="229D7E74"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0F08F745" w14:textId="77777777" w:rsidR="00D63C4D" w:rsidRDefault="00D63C4D" w:rsidP="00A669A4">
            <w:pPr>
              <w:pStyle w:val="THeadlastNumberbold"/>
            </w:pPr>
            <w:r>
              <w:t>2020</w:t>
            </w:r>
          </w:p>
        </w:tc>
        <w:tc>
          <w:tcPr>
            <w:tcW w:w="119" w:type="dxa"/>
            <w:vAlign w:val="bottom"/>
          </w:tcPr>
          <w:p w14:paraId="6602BE59"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124D4396" w14:textId="77777777" w:rsidR="00D63C4D" w:rsidRDefault="00D63C4D" w:rsidP="00A669A4">
            <w:pPr>
              <w:pStyle w:val="THeaddifferenceNumber"/>
              <w:keepNext/>
            </w:pPr>
            <w:r>
              <w:t>Veränd. in %</w:t>
            </w:r>
          </w:p>
        </w:tc>
        <w:tc>
          <w:tcPr>
            <w:tcW w:w="119" w:type="dxa"/>
            <w:vAlign w:val="bottom"/>
          </w:tcPr>
          <w:p w14:paraId="39269082"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17829BDA" w14:textId="77777777" w:rsidR="00D63C4D" w:rsidRDefault="00D63C4D" w:rsidP="00A669A4">
            <w:pPr>
              <w:pStyle w:val="THeadlastNumber"/>
            </w:pPr>
            <w:r>
              <w:t>2019</w:t>
            </w:r>
          </w:p>
        </w:tc>
        <w:tc>
          <w:tcPr>
            <w:tcW w:w="119" w:type="dxa"/>
            <w:vAlign w:val="bottom"/>
          </w:tcPr>
          <w:p w14:paraId="08A1BEC2"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401FD3AC" w14:textId="77777777" w:rsidR="00D63C4D" w:rsidRDefault="00D63C4D" w:rsidP="00A669A4">
            <w:pPr>
              <w:pStyle w:val="THeadlastNumberbold"/>
            </w:pPr>
            <w:r>
              <w:t>2020</w:t>
            </w:r>
          </w:p>
        </w:tc>
        <w:tc>
          <w:tcPr>
            <w:tcW w:w="119" w:type="dxa"/>
            <w:vAlign w:val="bottom"/>
          </w:tcPr>
          <w:p w14:paraId="200833FF"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75BF6E30" w14:textId="77777777" w:rsidR="00D63C4D" w:rsidRDefault="00D63C4D" w:rsidP="00A669A4">
            <w:pPr>
              <w:pStyle w:val="THeaddifferenceNumber"/>
              <w:keepNext/>
            </w:pPr>
            <w:r>
              <w:t>Veränd. in %</w:t>
            </w:r>
          </w:p>
        </w:tc>
      </w:tr>
      <w:tr w:rsidR="00D63C4D" w14:paraId="4EC50704" w14:textId="77777777" w:rsidTr="00A669A4">
        <w:tc>
          <w:tcPr>
            <w:tcW w:w="2914" w:type="dxa"/>
            <w:tcBorders>
              <w:top w:val="single" w:sz="4" w:space="0" w:color="000000"/>
              <w:bottom w:val="single" w:sz="4" w:space="0" w:color="A59C94"/>
            </w:tcBorders>
            <w:vAlign w:val="bottom"/>
          </w:tcPr>
          <w:p w14:paraId="488FA3FB" w14:textId="77777777" w:rsidR="00D63C4D" w:rsidRDefault="00D63C4D" w:rsidP="00A669A4">
            <w:pPr>
              <w:pStyle w:val="TBodynormalText"/>
            </w:pPr>
            <w:r>
              <w:t>Specialty Additives</w:t>
            </w:r>
          </w:p>
        </w:tc>
        <w:tc>
          <w:tcPr>
            <w:tcW w:w="119" w:type="dxa"/>
            <w:vAlign w:val="bottom"/>
          </w:tcPr>
          <w:p w14:paraId="4992C121"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1E07ECE0" w14:textId="77777777" w:rsidR="00D63C4D" w:rsidRDefault="00D63C4D" w:rsidP="00A669A4">
            <w:pPr>
              <w:pStyle w:val="TBodynormalNumber"/>
              <w:keepNext/>
            </w:pPr>
            <w:r>
              <w:t>810</w:t>
            </w:r>
          </w:p>
        </w:tc>
        <w:tc>
          <w:tcPr>
            <w:tcW w:w="119" w:type="dxa"/>
            <w:vAlign w:val="bottom"/>
          </w:tcPr>
          <w:p w14:paraId="311717B5"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5DF5356C" w14:textId="77777777" w:rsidR="00D63C4D" w:rsidRDefault="00D63C4D" w:rsidP="00A669A4">
            <w:pPr>
              <w:pStyle w:val="TBodynormalNumber"/>
              <w:keepNext/>
            </w:pPr>
            <w:r>
              <w:t>848</w:t>
            </w:r>
          </w:p>
        </w:tc>
        <w:tc>
          <w:tcPr>
            <w:tcW w:w="119" w:type="dxa"/>
            <w:vAlign w:val="bottom"/>
          </w:tcPr>
          <w:p w14:paraId="230F52B1"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1DE41DB4" w14:textId="77777777" w:rsidR="00D63C4D" w:rsidRDefault="00D63C4D" w:rsidP="00A669A4">
            <w:pPr>
              <w:pStyle w:val="TBodynormalNumber"/>
              <w:keepNext/>
            </w:pPr>
            <w:r>
              <w:t>5</w:t>
            </w:r>
          </w:p>
        </w:tc>
        <w:tc>
          <w:tcPr>
            <w:tcW w:w="119" w:type="dxa"/>
            <w:vAlign w:val="bottom"/>
          </w:tcPr>
          <w:p w14:paraId="53544E38"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64498D4A" w14:textId="77777777" w:rsidR="00D63C4D" w:rsidRDefault="00D63C4D" w:rsidP="00A669A4">
            <w:pPr>
              <w:pStyle w:val="TBodynormalNumber"/>
              <w:keepNext/>
            </w:pPr>
            <w:r>
              <w:t>203</w:t>
            </w:r>
          </w:p>
        </w:tc>
        <w:tc>
          <w:tcPr>
            <w:tcW w:w="119" w:type="dxa"/>
            <w:vAlign w:val="bottom"/>
          </w:tcPr>
          <w:p w14:paraId="74BE2CA4"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3EC38AD6" w14:textId="77777777" w:rsidR="00D63C4D" w:rsidRDefault="00D63C4D" w:rsidP="00A669A4">
            <w:pPr>
              <w:pStyle w:val="TBodynormalNumber"/>
              <w:keepNext/>
            </w:pPr>
            <w:r>
              <w:t>201</w:t>
            </w:r>
          </w:p>
        </w:tc>
        <w:tc>
          <w:tcPr>
            <w:tcW w:w="119" w:type="dxa"/>
            <w:vAlign w:val="bottom"/>
          </w:tcPr>
          <w:p w14:paraId="6EB205F0"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3E9AABFE" w14:textId="77777777" w:rsidR="00D63C4D" w:rsidRDefault="00D63C4D" w:rsidP="00A669A4">
            <w:pPr>
              <w:pStyle w:val="TBodynormalNumber"/>
              <w:keepNext/>
            </w:pPr>
            <w:r>
              <w:t>-1</w:t>
            </w:r>
          </w:p>
        </w:tc>
      </w:tr>
      <w:tr w:rsidR="00D63C4D" w14:paraId="54FB2C0C" w14:textId="77777777" w:rsidTr="00A669A4">
        <w:tc>
          <w:tcPr>
            <w:tcW w:w="2914" w:type="dxa"/>
            <w:tcBorders>
              <w:top w:val="single" w:sz="4" w:space="0" w:color="A59C94"/>
              <w:bottom w:val="single" w:sz="4" w:space="0" w:color="A59C94"/>
            </w:tcBorders>
            <w:vAlign w:val="bottom"/>
          </w:tcPr>
          <w:p w14:paraId="77AAF2D3" w14:textId="77777777" w:rsidR="00D63C4D" w:rsidRDefault="00D63C4D" w:rsidP="00A669A4">
            <w:pPr>
              <w:pStyle w:val="TBodynormalText"/>
            </w:pPr>
            <w:r>
              <w:t>Nutrition &amp; Care</w:t>
            </w:r>
          </w:p>
        </w:tc>
        <w:tc>
          <w:tcPr>
            <w:tcW w:w="119" w:type="dxa"/>
            <w:vAlign w:val="bottom"/>
          </w:tcPr>
          <w:p w14:paraId="743288B4"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51B34B90" w14:textId="77777777" w:rsidR="00D63C4D" w:rsidRDefault="00D63C4D" w:rsidP="00A669A4">
            <w:pPr>
              <w:pStyle w:val="TBodynormalNumber"/>
              <w:keepNext/>
            </w:pPr>
            <w:r>
              <w:t>747</w:t>
            </w:r>
          </w:p>
        </w:tc>
        <w:tc>
          <w:tcPr>
            <w:tcW w:w="119" w:type="dxa"/>
            <w:vAlign w:val="bottom"/>
          </w:tcPr>
          <w:p w14:paraId="6666BBFC"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0E46A93D" w14:textId="77777777" w:rsidR="00D63C4D" w:rsidRDefault="00D63C4D" w:rsidP="00A669A4">
            <w:pPr>
              <w:pStyle w:val="TBodynormalNumber"/>
              <w:keepNext/>
            </w:pPr>
            <w:r>
              <w:t>787</w:t>
            </w:r>
          </w:p>
        </w:tc>
        <w:tc>
          <w:tcPr>
            <w:tcW w:w="119" w:type="dxa"/>
            <w:vAlign w:val="bottom"/>
          </w:tcPr>
          <w:p w14:paraId="47D731D9"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5A01D83" w14:textId="77777777" w:rsidR="00D63C4D" w:rsidRDefault="00D63C4D" w:rsidP="00A669A4">
            <w:pPr>
              <w:pStyle w:val="TBodynormalNumber"/>
              <w:keepNext/>
            </w:pPr>
            <w:r>
              <w:t>5</w:t>
            </w:r>
          </w:p>
        </w:tc>
        <w:tc>
          <w:tcPr>
            <w:tcW w:w="119" w:type="dxa"/>
            <w:vAlign w:val="bottom"/>
          </w:tcPr>
          <w:p w14:paraId="0A98EF9A"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82CA596" w14:textId="77777777" w:rsidR="00D63C4D" w:rsidRDefault="00D63C4D" w:rsidP="00A669A4">
            <w:pPr>
              <w:pStyle w:val="TBodynormalNumber"/>
              <w:keepNext/>
            </w:pPr>
            <w:r>
              <w:t>109</w:t>
            </w:r>
          </w:p>
        </w:tc>
        <w:tc>
          <w:tcPr>
            <w:tcW w:w="119" w:type="dxa"/>
            <w:vAlign w:val="bottom"/>
          </w:tcPr>
          <w:p w14:paraId="53D93FA3"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06B2961" w14:textId="77777777" w:rsidR="00D63C4D" w:rsidRDefault="00D63C4D" w:rsidP="00A669A4">
            <w:pPr>
              <w:pStyle w:val="TBodynormalNumber"/>
              <w:keepNext/>
            </w:pPr>
            <w:r>
              <w:t>133</w:t>
            </w:r>
          </w:p>
        </w:tc>
        <w:tc>
          <w:tcPr>
            <w:tcW w:w="119" w:type="dxa"/>
            <w:vAlign w:val="bottom"/>
          </w:tcPr>
          <w:p w14:paraId="3A1F4DEC"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5DFD2ED9" w14:textId="77777777" w:rsidR="00D63C4D" w:rsidRDefault="00D63C4D" w:rsidP="00A669A4">
            <w:pPr>
              <w:pStyle w:val="TBodynormalNumber"/>
              <w:keepNext/>
            </w:pPr>
            <w:r>
              <w:t>22</w:t>
            </w:r>
          </w:p>
        </w:tc>
      </w:tr>
      <w:tr w:rsidR="00D63C4D" w14:paraId="02D0C0FA" w14:textId="77777777" w:rsidTr="00A669A4">
        <w:tc>
          <w:tcPr>
            <w:tcW w:w="2914" w:type="dxa"/>
            <w:tcBorders>
              <w:top w:val="single" w:sz="4" w:space="0" w:color="A59C94"/>
              <w:bottom w:val="single" w:sz="4" w:space="0" w:color="A59C94"/>
            </w:tcBorders>
            <w:vAlign w:val="bottom"/>
          </w:tcPr>
          <w:p w14:paraId="42D5B3CF" w14:textId="77777777" w:rsidR="00D63C4D" w:rsidRDefault="00D63C4D" w:rsidP="00A669A4">
            <w:pPr>
              <w:pStyle w:val="TBodynormalText"/>
            </w:pPr>
            <w:r>
              <w:t>Smart Materials</w:t>
            </w:r>
          </w:p>
        </w:tc>
        <w:tc>
          <w:tcPr>
            <w:tcW w:w="119" w:type="dxa"/>
            <w:vAlign w:val="bottom"/>
          </w:tcPr>
          <w:p w14:paraId="1B5FD1CF"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600C239" w14:textId="77777777" w:rsidR="00D63C4D" w:rsidRDefault="00D63C4D" w:rsidP="00A669A4">
            <w:pPr>
              <w:pStyle w:val="TBodynormalNumber"/>
              <w:keepNext/>
            </w:pPr>
            <w:r>
              <w:t>836</w:t>
            </w:r>
          </w:p>
        </w:tc>
        <w:tc>
          <w:tcPr>
            <w:tcW w:w="119" w:type="dxa"/>
            <w:vAlign w:val="bottom"/>
          </w:tcPr>
          <w:p w14:paraId="2627DE40"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285F30C" w14:textId="77777777" w:rsidR="00D63C4D" w:rsidRDefault="00D63C4D" w:rsidP="00A669A4">
            <w:pPr>
              <w:pStyle w:val="TBodynormalNumber"/>
              <w:keepNext/>
            </w:pPr>
            <w:r>
              <w:t>866</w:t>
            </w:r>
          </w:p>
        </w:tc>
        <w:tc>
          <w:tcPr>
            <w:tcW w:w="119" w:type="dxa"/>
            <w:vAlign w:val="bottom"/>
          </w:tcPr>
          <w:p w14:paraId="47C9FD3C"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B04B386" w14:textId="77777777" w:rsidR="00D63C4D" w:rsidRDefault="00D63C4D" w:rsidP="00A669A4">
            <w:pPr>
              <w:pStyle w:val="TBodynormalNumber"/>
              <w:keepNext/>
            </w:pPr>
            <w:r>
              <w:t>4</w:t>
            </w:r>
          </w:p>
        </w:tc>
        <w:tc>
          <w:tcPr>
            <w:tcW w:w="119" w:type="dxa"/>
            <w:vAlign w:val="bottom"/>
          </w:tcPr>
          <w:p w14:paraId="6E67F584"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542C0FD" w14:textId="77777777" w:rsidR="00D63C4D" w:rsidRDefault="00D63C4D" w:rsidP="00A669A4">
            <w:pPr>
              <w:pStyle w:val="TBodynormalNumber"/>
              <w:keepNext/>
            </w:pPr>
            <w:r>
              <w:t>168</w:t>
            </w:r>
          </w:p>
        </w:tc>
        <w:tc>
          <w:tcPr>
            <w:tcW w:w="119" w:type="dxa"/>
            <w:vAlign w:val="bottom"/>
          </w:tcPr>
          <w:p w14:paraId="0CF28374"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4EA9AEF0" w14:textId="77777777" w:rsidR="00D63C4D" w:rsidRDefault="00D63C4D" w:rsidP="00A669A4">
            <w:pPr>
              <w:pStyle w:val="TBodynormalNumber"/>
              <w:keepNext/>
            </w:pPr>
            <w:r>
              <w:t>124</w:t>
            </w:r>
          </w:p>
        </w:tc>
        <w:tc>
          <w:tcPr>
            <w:tcW w:w="119" w:type="dxa"/>
            <w:vAlign w:val="bottom"/>
          </w:tcPr>
          <w:p w14:paraId="5EA9170F"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17E68D8B" w14:textId="77777777" w:rsidR="00D63C4D" w:rsidRDefault="00D63C4D" w:rsidP="00A669A4">
            <w:pPr>
              <w:pStyle w:val="TBodynormalNumber"/>
              <w:keepNext/>
            </w:pPr>
            <w:r>
              <w:t>-26</w:t>
            </w:r>
          </w:p>
        </w:tc>
      </w:tr>
      <w:tr w:rsidR="00D63C4D" w14:paraId="36FED227" w14:textId="77777777" w:rsidTr="00A669A4">
        <w:tc>
          <w:tcPr>
            <w:tcW w:w="2914" w:type="dxa"/>
            <w:tcBorders>
              <w:top w:val="single" w:sz="4" w:space="0" w:color="A59C94"/>
              <w:bottom w:val="single" w:sz="4" w:space="0" w:color="A59C94"/>
            </w:tcBorders>
            <w:vAlign w:val="bottom"/>
          </w:tcPr>
          <w:p w14:paraId="1D87E222" w14:textId="77777777" w:rsidR="00D63C4D" w:rsidRDefault="00D63C4D" w:rsidP="00A669A4">
            <w:pPr>
              <w:pStyle w:val="TBodynormalText"/>
            </w:pPr>
            <w:r>
              <w:t>Performance Materials</w:t>
            </w:r>
          </w:p>
        </w:tc>
        <w:tc>
          <w:tcPr>
            <w:tcW w:w="119" w:type="dxa"/>
            <w:vAlign w:val="bottom"/>
          </w:tcPr>
          <w:p w14:paraId="00FAE562"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343E9F78" w14:textId="77777777" w:rsidR="00D63C4D" w:rsidRDefault="00D63C4D" w:rsidP="00A669A4">
            <w:pPr>
              <w:pStyle w:val="TBodynormalNumber"/>
              <w:keepNext/>
            </w:pPr>
            <w:r>
              <w:t>652</w:t>
            </w:r>
          </w:p>
        </w:tc>
        <w:tc>
          <w:tcPr>
            <w:tcW w:w="119" w:type="dxa"/>
            <w:vAlign w:val="bottom"/>
          </w:tcPr>
          <w:p w14:paraId="61788148"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7047F75" w14:textId="77777777" w:rsidR="00D63C4D" w:rsidRDefault="00D63C4D" w:rsidP="00A669A4">
            <w:pPr>
              <w:pStyle w:val="TBodynormalNumber"/>
              <w:keepNext/>
            </w:pPr>
            <w:r>
              <w:t>517</w:t>
            </w:r>
          </w:p>
        </w:tc>
        <w:tc>
          <w:tcPr>
            <w:tcW w:w="119" w:type="dxa"/>
            <w:vAlign w:val="bottom"/>
          </w:tcPr>
          <w:p w14:paraId="329A9B00"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0390D43" w14:textId="77777777" w:rsidR="00D63C4D" w:rsidRDefault="00D63C4D" w:rsidP="00A669A4">
            <w:pPr>
              <w:pStyle w:val="TBodynormalNumber"/>
              <w:keepNext/>
            </w:pPr>
            <w:r>
              <w:t>-21</w:t>
            </w:r>
          </w:p>
        </w:tc>
        <w:tc>
          <w:tcPr>
            <w:tcW w:w="119" w:type="dxa"/>
            <w:vAlign w:val="bottom"/>
          </w:tcPr>
          <w:p w14:paraId="57BEC15E"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C0D2111" w14:textId="77777777" w:rsidR="00D63C4D" w:rsidRDefault="00D63C4D" w:rsidP="00A669A4">
            <w:pPr>
              <w:pStyle w:val="TBodynormalNumber"/>
              <w:keepNext/>
            </w:pPr>
            <w:r>
              <w:t>53</w:t>
            </w:r>
          </w:p>
        </w:tc>
        <w:tc>
          <w:tcPr>
            <w:tcW w:w="119" w:type="dxa"/>
            <w:vAlign w:val="bottom"/>
          </w:tcPr>
          <w:p w14:paraId="2EBA74ED"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42246337" w14:textId="77777777" w:rsidR="00D63C4D" w:rsidRDefault="00D63C4D" w:rsidP="00A669A4">
            <w:pPr>
              <w:pStyle w:val="TBodynormalNumber"/>
              <w:keepNext/>
            </w:pPr>
            <w:r>
              <w:t>30</w:t>
            </w:r>
          </w:p>
        </w:tc>
        <w:tc>
          <w:tcPr>
            <w:tcW w:w="119" w:type="dxa"/>
            <w:vAlign w:val="bottom"/>
          </w:tcPr>
          <w:p w14:paraId="08FF1AE3"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3DB72B24" w14:textId="77777777" w:rsidR="00D63C4D" w:rsidRDefault="00D63C4D" w:rsidP="00A669A4">
            <w:pPr>
              <w:pStyle w:val="TBodynormalNumber"/>
              <w:keepNext/>
            </w:pPr>
            <w:r>
              <w:t>-43</w:t>
            </w:r>
          </w:p>
        </w:tc>
      </w:tr>
      <w:tr w:rsidR="00D63C4D" w14:paraId="32546C44" w14:textId="77777777" w:rsidTr="00A669A4">
        <w:tc>
          <w:tcPr>
            <w:tcW w:w="2914" w:type="dxa"/>
            <w:tcBorders>
              <w:top w:val="single" w:sz="4" w:space="0" w:color="A59C94"/>
              <w:bottom w:val="single" w:sz="4" w:space="0" w:color="A59C94"/>
            </w:tcBorders>
            <w:vAlign w:val="bottom"/>
          </w:tcPr>
          <w:p w14:paraId="68D10658" w14:textId="77777777" w:rsidR="00D63C4D" w:rsidRDefault="00D63C4D" w:rsidP="00A669A4">
            <w:pPr>
              <w:pStyle w:val="TBodynormalText"/>
            </w:pPr>
            <w:r>
              <w:t>Services</w:t>
            </w:r>
          </w:p>
        </w:tc>
        <w:tc>
          <w:tcPr>
            <w:tcW w:w="119" w:type="dxa"/>
            <w:vAlign w:val="bottom"/>
          </w:tcPr>
          <w:p w14:paraId="35ED588D"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6D6AF95A" w14:textId="77777777" w:rsidR="00D63C4D" w:rsidRDefault="00D63C4D" w:rsidP="00A669A4">
            <w:pPr>
              <w:pStyle w:val="TBodynormalNumber"/>
              <w:keepNext/>
            </w:pPr>
            <w:r>
              <w:t>221</w:t>
            </w:r>
          </w:p>
        </w:tc>
        <w:tc>
          <w:tcPr>
            <w:tcW w:w="119" w:type="dxa"/>
            <w:vAlign w:val="bottom"/>
          </w:tcPr>
          <w:p w14:paraId="3BECF39F"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0C4AF368" w14:textId="77777777" w:rsidR="00D63C4D" w:rsidRDefault="00D63C4D" w:rsidP="00A669A4">
            <w:pPr>
              <w:pStyle w:val="TBodynormalNumber"/>
              <w:keepNext/>
            </w:pPr>
            <w:r>
              <w:t>188</w:t>
            </w:r>
          </w:p>
        </w:tc>
        <w:tc>
          <w:tcPr>
            <w:tcW w:w="119" w:type="dxa"/>
            <w:vAlign w:val="bottom"/>
          </w:tcPr>
          <w:p w14:paraId="32688BB0"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6FC3AD89" w14:textId="77777777" w:rsidR="00D63C4D" w:rsidRDefault="00D63C4D" w:rsidP="00A669A4">
            <w:pPr>
              <w:pStyle w:val="TBodynormalNumber"/>
              <w:keepNext/>
            </w:pPr>
            <w:r>
              <w:t>-15</w:t>
            </w:r>
          </w:p>
        </w:tc>
        <w:tc>
          <w:tcPr>
            <w:tcW w:w="119" w:type="dxa"/>
            <w:vAlign w:val="bottom"/>
          </w:tcPr>
          <w:p w14:paraId="40E54F5D"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38228085" w14:textId="77777777" w:rsidR="00D63C4D" w:rsidRDefault="00D63C4D" w:rsidP="00A669A4">
            <w:pPr>
              <w:pStyle w:val="TBodynormalNumber"/>
              <w:keepNext/>
            </w:pPr>
            <w:r>
              <w:t>24</w:t>
            </w:r>
          </w:p>
        </w:tc>
        <w:tc>
          <w:tcPr>
            <w:tcW w:w="119" w:type="dxa"/>
            <w:vAlign w:val="bottom"/>
          </w:tcPr>
          <w:p w14:paraId="1EA95113"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09808D0" w14:textId="77777777" w:rsidR="00D63C4D" w:rsidRDefault="00D63C4D" w:rsidP="00A669A4">
            <w:pPr>
              <w:pStyle w:val="TBodynormalNumber"/>
              <w:keepNext/>
            </w:pPr>
            <w:r>
              <w:t>-15</w:t>
            </w:r>
          </w:p>
        </w:tc>
        <w:tc>
          <w:tcPr>
            <w:tcW w:w="119" w:type="dxa"/>
            <w:vAlign w:val="bottom"/>
          </w:tcPr>
          <w:p w14:paraId="4396F545"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114C2C84" w14:textId="77777777" w:rsidR="00D63C4D" w:rsidRDefault="00D63C4D" w:rsidP="00A669A4">
            <w:pPr>
              <w:pStyle w:val="TBodynormalNumber"/>
              <w:keepNext/>
            </w:pPr>
            <w:r>
              <w:t>-163</w:t>
            </w:r>
          </w:p>
        </w:tc>
      </w:tr>
      <w:tr w:rsidR="00D63C4D" w14:paraId="598438BE" w14:textId="77777777" w:rsidTr="00A669A4">
        <w:tc>
          <w:tcPr>
            <w:tcW w:w="2914" w:type="dxa"/>
            <w:tcBorders>
              <w:top w:val="single" w:sz="4" w:space="0" w:color="A59C94"/>
              <w:bottom w:val="single" w:sz="4" w:space="0" w:color="A59C94"/>
            </w:tcBorders>
            <w:vAlign w:val="bottom"/>
          </w:tcPr>
          <w:p w14:paraId="6BCA3BE6" w14:textId="77777777" w:rsidR="00D63C4D" w:rsidRDefault="00D63C4D" w:rsidP="00A669A4">
            <w:pPr>
              <w:pStyle w:val="TBodynormalText"/>
            </w:pPr>
            <w:r>
              <w:t>Corporate, andere Aktivitäten, Konsolidierung</w:t>
            </w:r>
          </w:p>
        </w:tc>
        <w:tc>
          <w:tcPr>
            <w:tcW w:w="119" w:type="dxa"/>
            <w:vAlign w:val="bottom"/>
          </w:tcPr>
          <w:p w14:paraId="4868E688"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B60D288" w14:textId="77777777" w:rsidR="00D63C4D" w:rsidRDefault="00D63C4D" w:rsidP="00A669A4">
            <w:pPr>
              <w:pStyle w:val="TBodynormalNumber"/>
              <w:keepNext/>
            </w:pPr>
            <w:r>
              <w:t>18</w:t>
            </w:r>
          </w:p>
        </w:tc>
        <w:tc>
          <w:tcPr>
            <w:tcW w:w="119" w:type="dxa"/>
            <w:vAlign w:val="bottom"/>
          </w:tcPr>
          <w:p w14:paraId="4C79B786"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74825CEE" w14:textId="77777777" w:rsidR="00D63C4D" w:rsidRDefault="00D63C4D" w:rsidP="00A669A4">
            <w:pPr>
              <w:pStyle w:val="TBodynormalNumber"/>
              <w:keepNext/>
            </w:pPr>
            <w:r>
              <w:t>6</w:t>
            </w:r>
          </w:p>
        </w:tc>
        <w:tc>
          <w:tcPr>
            <w:tcW w:w="119" w:type="dxa"/>
            <w:vAlign w:val="bottom"/>
          </w:tcPr>
          <w:p w14:paraId="4833FAB7"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0D2619D2" w14:textId="77777777" w:rsidR="00D63C4D" w:rsidRDefault="00D63C4D" w:rsidP="00A669A4">
            <w:pPr>
              <w:pStyle w:val="TBodynormalNumber"/>
              <w:keepNext/>
            </w:pPr>
            <w:r>
              <w:t>-67</w:t>
            </w:r>
          </w:p>
        </w:tc>
        <w:tc>
          <w:tcPr>
            <w:tcW w:w="119" w:type="dxa"/>
            <w:vAlign w:val="bottom"/>
          </w:tcPr>
          <w:p w14:paraId="09B950E1"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5607512" w14:textId="77777777" w:rsidR="00D63C4D" w:rsidRDefault="00D63C4D" w:rsidP="00A669A4">
            <w:pPr>
              <w:pStyle w:val="TBodynormalNumber"/>
              <w:keepNext/>
            </w:pPr>
            <w:r>
              <w:t>-52</w:t>
            </w:r>
          </w:p>
        </w:tc>
        <w:tc>
          <w:tcPr>
            <w:tcW w:w="119" w:type="dxa"/>
            <w:vAlign w:val="bottom"/>
          </w:tcPr>
          <w:p w14:paraId="00780943"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807FB07" w14:textId="77777777" w:rsidR="00D63C4D" w:rsidRDefault="00D63C4D" w:rsidP="00A669A4">
            <w:pPr>
              <w:pStyle w:val="TBodynormalNumber"/>
              <w:keepNext/>
            </w:pPr>
            <w:r>
              <w:t>-55</w:t>
            </w:r>
          </w:p>
        </w:tc>
        <w:tc>
          <w:tcPr>
            <w:tcW w:w="119" w:type="dxa"/>
            <w:vAlign w:val="bottom"/>
          </w:tcPr>
          <w:p w14:paraId="0535EB0D"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008716D9" w14:textId="77777777" w:rsidR="00D63C4D" w:rsidRDefault="00D63C4D" w:rsidP="00A669A4">
            <w:pPr>
              <w:pStyle w:val="TBodynormalNumber"/>
              <w:keepNext/>
            </w:pPr>
            <w:r>
              <w:t>6</w:t>
            </w:r>
          </w:p>
        </w:tc>
      </w:tr>
      <w:tr w:rsidR="00D63C4D" w14:paraId="0628C444" w14:textId="77777777" w:rsidTr="00A669A4">
        <w:tc>
          <w:tcPr>
            <w:tcW w:w="2914" w:type="dxa"/>
            <w:tcBorders>
              <w:top w:val="single" w:sz="4" w:space="0" w:color="A59C94"/>
              <w:bottom w:val="single" w:sz="16" w:space="0" w:color="991D85"/>
            </w:tcBorders>
            <w:vAlign w:val="bottom"/>
          </w:tcPr>
          <w:p w14:paraId="4081B22B" w14:textId="77777777" w:rsidR="00D63C4D" w:rsidRDefault="00D63C4D" w:rsidP="00A669A4">
            <w:pPr>
              <w:pStyle w:val="TBodytotalText"/>
            </w:pPr>
            <w:r>
              <w:t>Konzern</w:t>
            </w:r>
          </w:p>
        </w:tc>
        <w:tc>
          <w:tcPr>
            <w:tcW w:w="119" w:type="dxa"/>
            <w:tcBorders>
              <w:bottom w:val="single" w:sz="16" w:space="0" w:color="991D85"/>
            </w:tcBorders>
            <w:vAlign w:val="bottom"/>
          </w:tcPr>
          <w:p w14:paraId="4A9D00D9"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04366DE3" w14:textId="77777777" w:rsidR="00D63C4D" w:rsidRDefault="00D63C4D" w:rsidP="00A669A4">
            <w:pPr>
              <w:pStyle w:val="TBodytotalNumber"/>
            </w:pPr>
            <w:r>
              <w:t>3.284</w:t>
            </w:r>
          </w:p>
        </w:tc>
        <w:tc>
          <w:tcPr>
            <w:tcW w:w="119" w:type="dxa"/>
            <w:tcBorders>
              <w:bottom w:val="single" w:sz="16" w:space="0" w:color="991D85"/>
            </w:tcBorders>
            <w:vAlign w:val="bottom"/>
          </w:tcPr>
          <w:p w14:paraId="372243E7" w14:textId="77777777" w:rsidR="00D63C4D" w:rsidRDefault="00D63C4D"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3893D5BA" w14:textId="77777777" w:rsidR="00D63C4D" w:rsidRDefault="00D63C4D" w:rsidP="00A669A4">
            <w:pPr>
              <w:pStyle w:val="TBodytotalNumber"/>
            </w:pPr>
            <w:r>
              <w:t>3.212</w:t>
            </w:r>
          </w:p>
        </w:tc>
        <w:tc>
          <w:tcPr>
            <w:tcW w:w="119" w:type="dxa"/>
            <w:tcBorders>
              <w:bottom w:val="single" w:sz="16" w:space="0" w:color="991D85"/>
            </w:tcBorders>
            <w:vAlign w:val="bottom"/>
          </w:tcPr>
          <w:p w14:paraId="1A7B0E20"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7DD99506" w14:textId="77777777" w:rsidR="00D63C4D" w:rsidRDefault="00D63C4D" w:rsidP="00A669A4">
            <w:pPr>
              <w:pStyle w:val="TBodytotalNumber"/>
            </w:pPr>
            <w:r>
              <w:t>-2</w:t>
            </w:r>
          </w:p>
        </w:tc>
        <w:tc>
          <w:tcPr>
            <w:tcW w:w="119" w:type="dxa"/>
            <w:tcBorders>
              <w:bottom w:val="single" w:sz="16" w:space="0" w:color="991D85"/>
            </w:tcBorders>
            <w:vAlign w:val="bottom"/>
          </w:tcPr>
          <w:p w14:paraId="1F36F840"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1ADE667A" w14:textId="77777777" w:rsidR="00D63C4D" w:rsidRDefault="00D63C4D" w:rsidP="00A669A4">
            <w:pPr>
              <w:pStyle w:val="TBodytotalNumber"/>
            </w:pPr>
            <w:r>
              <w:t>505</w:t>
            </w:r>
          </w:p>
        </w:tc>
        <w:tc>
          <w:tcPr>
            <w:tcW w:w="119" w:type="dxa"/>
            <w:tcBorders>
              <w:bottom w:val="single" w:sz="16" w:space="0" w:color="991D85"/>
            </w:tcBorders>
            <w:vAlign w:val="bottom"/>
          </w:tcPr>
          <w:p w14:paraId="610E04C6" w14:textId="77777777" w:rsidR="00D63C4D" w:rsidRDefault="00D63C4D"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71DA1171" w14:textId="77777777" w:rsidR="00D63C4D" w:rsidRDefault="00D63C4D" w:rsidP="00A669A4">
            <w:pPr>
              <w:pStyle w:val="TBodytotalNumber"/>
            </w:pPr>
            <w:r>
              <w:t>418</w:t>
            </w:r>
          </w:p>
        </w:tc>
        <w:tc>
          <w:tcPr>
            <w:tcW w:w="119" w:type="dxa"/>
            <w:tcBorders>
              <w:bottom w:val="single" w:sz="16" w:space="0" w:color="991D85"/>
            </w:tcBorders>
            <w:vAlign w:val="bottom"/>
          </w:tcPr>
          <w:p w14:paraId="55DC235F"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7945CF25" w14:textId="77777777" w:rsidR="00D63C4D" w:rsidRDefault="00D63C4D" w:rsidP="00A669A4">
            <w:pPr>
              <w:pStyle w:val="TBodytotalNumber"/>
            </w:pPr>
            <w:r>
              <w:t>-17</w:t>
            </w:r>
          </w:p>
        </w:tc>
      </w:tr>
      <w:bookmarkEnd w:id="9"/>
      <w:bookmarkEnd w:id="10"/>
    </w:tbl>
    <w:p w14:paraId="64FE2810" w14:textId="77777777" w:rsidR="00D63C4D" w:rsidRDefault="00D63C4D" w:rsidP="00D63C4D"/>
    <w:tbl>
      <w:tblPr>
        <w:tblW w:w="0" w:type="dxa"/>
        <w:tblLayout w:type="fixed"/>
        <w:tblCellMar>
          <w:left w:w="0" w:type="dxa"/>
          <w:right w:w="0" w:type="dxa"/>
        </w:tblCellMar>
        <w:tblLook w:val="04A0" w:firstRow="1" w:lastRow="0" w:firstColumn="1" w:lastColumn="0" w:noHBand="0" w:noVBand="1"/>
        <w:tblCaption w:val="Tabelle: Pressemitteilung deutsch!outarea_seg_jahr"/>
        <w:tblDescription w:val="SNEID_7f16fb50c382480f91c69d272ec9a328"/>
      </w:tblPr>
      <w:tblGrid>
        <w:gridCol w:w="2914"/>
        <w:gridCol w:w="119"/>
        <w:gridCol w:w="1021"/>
        <w:gridCol w:w="119"/>
        <w:gridCol w:w="1021"/>
        <w:gridCol w:w="119"/>
        <w:gridCol w:w="1021"/>
        <w:gridCol w:w="119"/>
        <w:gridCol w:w="1021"/>
        <w:gridCol w:w="119"/>
        <w:gridCol w:w="1021"/>
        <w:gridCol w:w="119"/>
        <w:gridCol w:w="1021"/>
      </w:tblGrid>
      <w:tr w:rsidR="00D63C4D" w14:paraId="7BD12FCF" w14:textId="77777777" w:rsidTr="00A669A4">
        <w:tc>
          <w:tcPr>
            <w:tcW w:w="9754" w:type="dxa"/>
            <w:gridSpan w:val="13"/>
            <w:vAlign w:val="bottom"/>
          </w:tcPr>
          <w:p w14:paraId="0553D2F8" w14:textId="77777777" w:rsidR="00D63C4D" w:rsidRPr="00E23F68" w:rsidRDefault="00D63C4D" w:rsidP="00A669A4">
            <w:pPr>
              <w:pStyle w:val="TTitleText"/>
              <w:rPr>
                <w:lang w:val="de-DE"/>
              </w:rPr>
            </w:pPr>
            <w:bookmarkStart w:id="11" w:name="SNEID_7f16fb50c382480f91c69d272ec9a328"/>
            <w:bookmarkStart w:id="12" w:name="SNAMD_614081ba44c5473985ed6c3d6a792412"/>
            <w:r w:rsidRPr="00E23F68">
              <w:rPr>
                <w:lang w:val="de-DE"/>
              </w:rPr>
              <w:t>Entwicklung in den Segmenten - Gesamtjahr</w:t>
            </w:r>
          </w:p>
        </w:tc>
      </w:tr>
      <w:tr w:rsidR="00D63C4D" w14:paraId="49DAA1D0" w14:textId="77777777" w:rsidTr="00A669A4">
        <w:tc>
          <w:tcPr>
            <w:tcW w:w="2914" w:type="dxa"/>
            <w:tcBorders>
              <w:top w:val="single" w:sz="8" w:space="0" w:color="000000"/>
            </w:tcBorders>
            <w:vAlign w:val="bottom"/>
          </w:tcPr>
          <w:p w14:paraId="23240F7D"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3972E87B"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084D87C2"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215DE57C"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2A398EE1"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7D2B167E"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790AC7EC"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2DA49528"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1DFAF314"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3F4C0E0C"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63C3BCA5" w14:textId="77777777" w:rsidR="00D63C4D" w:rsidRPr="00E23F68" w:rsidRDefault="00D63C4D" w:rsidP="00A669A4">
            <w:pPr>
              <w:pStyle w:val="TDummy"/>
              <w:keepNext/>
              <w:rPr>
                <w:lang w:val="de-DE"/>
              </w:rPr>
            </w:pPr>
          </w:p>
        </w:tc>
        <w:tc>
          <w:tcPr>
            <w:tcW w:w="119" w:type="dxa"/>
            <w:tcBorders>
              <w:top w:val="single" w:sz="8" w:space="0" w:color="000000"/>
            </w:tcBorders>
            <w:vAlign w:val="bottom"/>
          </w:tcPr>
          <w:p w14:paraId="6729016C" w14:textId="77777777" w:rsidR="00D63C4D" w:rsidRPr="00E23F68" w:rsidRDefault="00D63C4D" w:rsidP="00A669A4">
            <w:pPr>
              <w:pStyle w:val="TDummy"/>
              <w:keepNext/>
              <w:rPr>
                <w:lang w:val="de-DE"/>
              </w:rPr>
            </w:pPr>
          </w:p>
        </w:tc>
        <w:tc>
          <w:tcPr>
            <w:tcW w:w="1021" w:type="dxa"/>
            <w:tcBorders>
              <w:top w:val="single" w:sz="8" w:space="0" w:color="000000"/>
            </w:tcBorders>
            <w:vAlign w:val="bottom"/>
          </w:tcPr>
          <w:p w14:paraId="2B287343" w14:textId="77777777" w:rsidR="00D63C4D" w:rsidRPr="00E23F68" w:rsidRDefault="00D63C4D" w:rsidP="00A669A4">
            <w:pPr>
              <w:pStyle w:val="TDummy"/>
              <w:keepNext/>
              <w:rPr>
                <w:lang w:val="de-DE"/>
              </w:rPr>
            </w:pPr>
          </w:p>
        </w:tc>
      </w:tr>
      <w:tr w:rsidR="00D63C4D" w14:paraId="0B074C82" w14:textId="77777777" w:rsidTr="00A669A4">
        <w:tc>
          <w:tcPr>
            <w:tcW w:w="2914" w:type="dxa"/>
            <w:shd w:val="clear" w:color="000000" w:fill="FFFFFF"/>
            <w:vAlign w:val="bottom"/>
          </w:tcPr>
          <w:p w14:paraId="637E858C" w14:textId="77777777" w:rsidR="00D63C4D" w:rsidRDefault="00D63C4D" w:rsidP="00A669A4">
            <w:pPr>
              <w:pStyle w:val="THeadfirstNumber"/>
            </w:pPr>
          </w:p>
        </w:tc>
        <w:tc>
          <w:tcPr>
            <w:tcW w:w="119" w:type="dxa"/>
            <w:vAlign w:val="bottom"/>
          </w:tcPr>
          <w:p w14:paraId="07D635A9" w14:textId="77777777" w:rsidR="00D63C4D" w:rsidRDefault="00D63C4D" w:rsidP="00A669A4">
            <w:pPr>
              <w:pStyle w:val="THeadfirstNumber"/>
            </w:pPr>
          </w:p>
        </w:tc>
        <w:tc>
          <w:tcPr>
            <w:tcW w:w="3301" w:type="dxa"/>
            <w:gridSpan w:val="5"/>
            <w:tcBorders>
              <w:bottom w:val="single" w:sz="4" w:space="0" w:color="A59C94"/>
            </w:tcBorders>
            <w:shd w:val="clear" w:color="000000" w:fill="FFFFFF"/>
            <w:vAlign w:val="bottom"/>
          </w:tcPr>
          <w:p w14:paraId="3FD55A27" w14:textId="77777777" w:rsidR="00D63C4D" w:rsidRDefault="00D63C4D" w:rsidP="00A669A4">
            <w:pPr>
              <w:pStyle w:val="THeadfirstNumber"/>
            </w:pPr>
            <w:r>
              <w:t>Umsatz</w:t>
            </w:r>
          </w:p>
        </w:tc>
        <w:tc>
          <w:tcPr>
            <w:tcW w:w="119" w:type="dxa"/>
            <w:vAlign w:val="bottom"/>
          </w:tcPr>
          <w:p w14:paraId="76F06820" w14:textId="77777777" w:rsidR="00D63C4D" w:rsidRDefault="00D63C4D" w:rsidP="00A669A4">
            <w:pPr>
              <w:pStyle w:val="THeadfirstNumber"/>
            </w:pPr>
          </w:p>
        </w:tc>
        <w:tc>
          <w:tcPr>
            <w:tcW w:w="3301" w:type="dxa"/>
            <w:gridSpan w:val="5"/>
            <w:tcBorders>
              <w:bottom w:val="single" w:sz="4" w:space="0" w:color="A59C94"/>
            </w:tcBorders>
            <w:shd w:val="clear" w:color="000000" w:fill="FFFFFF"/>
            <w:vAlign w:val="bottom"/>
          </w:tcPr>
          <w:p w14:paraId="7FD78B48" w14:textId="77777777" w:rsidR="00D63C4D" w:rsidRDefault="00D63C4D" w:rsidP="00A669A4">
            <w:pPr>
              <w:pStyle w:val="THeadfirstNumber"/>
            </w:pPr>
            <w:r>
              <w:t>Bereinigtes EBITDA</w:t>
            </w:r>
          </w:p>
        </w:tc>
      </w:tr>
      <w:tr w:rsidR="00D63C4D" w14:paraId="67D9F4F2" w14:textId="77777777" w:rsidTr="00A669A4">
        <w:tc>
          <w:tcPr>
            <w:tcW w:w="2914" w:type="dxa"/>
            <w:tcBorders>
              <w:bottom w:val="single" w:sz="4" w:space="0" w:color="000000"/>
            </w:tcBorders>
            <w:shd w:val="clear" w:color="000000" w:fill="FFFFFF"/>
            <w:vAlign w:val="bottom"/>
          </w:tcPr>
          <w:p w14:paraId="320EDABD" w14:textId="77777777" w:rsidR="00D63C4D" w:rsidRDefault="00D63C4D" w:rsidP="00A669A4">
            <w:pPr>
              <w:pStyle w:val="THeadlastText"/>
            </w:pPr>
            <w:r>
              <w:t>in Millionen €</w:t>
            </w:r>
          </w:p>
        </w:tc>
        <w:tc>
          <w:tcPr>
            <w:tcW w:w="119" w:type="dxa"/>
            <w:vAlign w:val="bottom"/>
          </w:tcPr>
          <w:p w14:paraId="7EEA5162"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7E411CCD" w14:textId="77777777" w:rsidR="00D63C4D" w:rsidRDefault="00D63C4D" w:rsidP="00A669A4">
            <w:pPr>
              <w:pStyle w:val="THeadlastNumber"/>
            </w:pPr>
            <w:r>
              <w:t>2019</w:t>
            </w:r>
          </w:p>
        </w:tc>
        <w:tc>
          <w:tcPr>
            <w:tcW w:w="119" w:type="dxa"/>
            <w:vAlign w:val="bottom"/>
          </w:tcPr>
          <w:p w14:paraId="22FADC96"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0CED2091" w14:textId="77777777" w:rsidR="00D63C4D" w:rsidRDefault="00D63C4D" w:rsidP="00A669A4">
            <w:pPr>
              <w:pStyle w:val="THeadlastNumberbold"/>
            </w:pPr>
            <w:r>
              <w:t>2020</w:t>
            </w:r>
          </w:p>
        </w:tc>
        <w:tc>
          <w:tcPr>
            <w:tcW w:w="119" w:type="dxa"/>
            <w:vAlign w:val="bottom"/>
          </w:tcPr>
          <w:p w14:paraId="00070564"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28666EF9" w14:textId="77777777" w:rsidR="00D63C4D" w:rsidRDefault="00D63C4D" w:rsidP="00A669A4">
            <w:pPr>
              <w:pStyle w:val="THeaddifferenceNumber"/>
              <w:keepNext/>
            </w:pPr>
            <w:r>
              <w:t>Veränd. in %</w:t>
            </w:r>
          </w:p>
        </w:tc>
        <w:tc>
          <w:tcPr>
            <w:tcW w:w="119" w:type="dxa"/>
            <w:vAlign w:val="bottom"/>
          </w:tcPr>
          <w:p w14:paraId="7CBC0F49"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55A36046" w14:textId="77777777" w:rsidR="00D63C4D" w:rsidRDefault="00D63C4D" w:rsidP="00A669A4">
            <w:pPr>
              <w:pStyle w:val="THeadlastNumber"/>
            </w:pPr>
            <w:r>
              <w:t>2019</w:t>
            </w:r>
          </w:p>
        </w:tc>
        <w:tc>
          <w:tcPr>
            <w:tcW w:w="119" w:type="dxa"/>
            <w:vAlign w:val="bottom"/>
          </w:tcPr>
          <w:p w14:paraId="77B147E6"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67204707" w14:textId="77777777" w:rsidR="00D63C4D" w:rsidRDefault="00D63C4D" w:rsidP="00A669A4">
            <w:pPr>
              <w:pStyle w:val="THeadlastNumberbold"/>
            </w:pPr>
            <w:r>
              <w:t>2020</w:t>
            </w:r>
          </w:p>
        </w:tc>
        <w:tc>
          <w:tcPr>
            <w:tcW w:w="119" w:type="dxa"/>
            <w:vAlign w:val="bottom"/>
          </w:tcPr>
          <w:p w14:paraId="5C51B6C7" w14:textId="77777777" w:rsidR="00D63C4D" w:rsidRDefault="00D63C4D" w:rsidP="00A669A4">
            <w:pPr>
              <w:pStyle w:val="THeadlastNumber"/>
            </w:pPr>
          </w:p>
        </w:tc>
        <w:tc>
          <w:tcPr>
            <w:tcW w:w="1021" w:type="dxa"/>
            <w:tcBorders>
              <w:top w:val="single" w:sz="4" w:space="0" w:color="A59C94"/>
              <w:bottom w:val="single" w:sz="4" w:space="0" w:color="000000"/>
            </w:tcBorders>
            <w:shd w:val="clear" w:color="000000" w:fill="FFFFFF"/>
            <w:vAlign w:val="bottom"/>
          </w:tcPr>
          <w:p w14:paraId="45DDC4F6" w14:textId="77777777" w:rsidR="00D63C4D" w:rsidRDefault="00D63C4D" w:rsidP="00A669A4">
            <w:pPr>
              <w:pStyle w:val="THeaddifferenceNumber"/>
              <w:keepNext/>
            </w:pPr>
            <w:r>
              <w:t>Veränd. in %</w:t>
            </w:r>
          </w:p>
        </w:tc>
      </w:tr>
      <w:tr w:rsidR="00D63C4D" w14:paraId="21C2B8EF" w14:textId="77777777" w:rsidTr="00A669A4">
        <w:tc>
          <w:tcPr>
            <w:tcW w:w="2914" w:type="dxa"/>
            <w:tcBorders>
              <w:top w:val="single" w:sz="4" w:space="0" w:color="000000"/>
              <w:bottom w:val="single" w:sz="4" w:space="0" w:color="A59C94"/>
            </w:tcBorders>
            <w:vAlign w:val="bottom"/>
          </w:tcPr>
          <w:p w14:paraId="2F96D11D" w14:textId="77777777" w:rsidR="00D63C4D" w:rsidRDefault="00D63C4D" w:rsidP="00A669A4">
            <w:pPr>
              <w:pStyle w:val="TBodynormalText"/>
            </w:pPr>
            <w:r>
              <w:t>Specialty Additives</w:t>
            </w:r>
          </w:p>
        </w:tc>
        <w:tc>
          <w:tcPr>
            <w:tcW w:w="119" w:type="dxa"/>
            <w:vAlign w:val="bottom"/>
          </w:tcPr>
          <w:p w14:paraId="47E12046"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229FF5FF" w14:textId="77777777" w:rsidR="00D63C4D" w:rsidRDefault="00D63C4D" w:rsidP="00A669A4">
            <w:pPr>
              <w:pStyle w:val="TBodynormalNumber"/>
              <w:keepNext/>
            </w:pPr>
            <w:r>
              <w:t>3.381</w:t>
            </w:r>
          </w:p>
        </w:tc>
        <w:tc>
          <w:tcPr>
            <w:tcW w:w="119" w:type="dxa"/>
            <w:vAlign w:val="bottom"/>
          </w:tcPr>
          <w:p w14:paraId="6DAD05EF"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21C99AE9" w14:textId="77777777" w:rsidR="00D63C4D" w:rsidRDefault="00D63C4D" w:rsidP="00A669A4">
            <w:pPr>
              <w:pStyle w:val="TBodynormalNumber"/>
              <w:keepNext/>
            </w:pPr>
            <w:r>
              <w:t>3.225</w:t>
            </w:r>
          </w:p>
        </w:tc>
        <w:tc>
          <w:tcPr>
            <w:tcW w:w="119" w:type="dxa"/>
            <w:vAlign w:val="bottom"/>
          </w:tcPr>
          <w:p w14:paraId="4E48A480"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53DBA3C2" w14:textId="77777777" w:rsidR="00D63C4D" w:rsidRDefault="00D63C4D" w:rsidP="00A669A4">
            <w:pPr>
              <w:pStyle w:val="TBodynormalNumber"/>
              <w:keepNext/>
            </w:pPr>
            <w:r>
              <w:t>-5</w:t>
            </w:r>
          </w:p>
        </w:tc>
        <w:tc>
          <w:tcPr>
            <w:tcW w:w="119" w:type="dxa"/>
            <w:vAlign w:val="bottom"/>
          </w:tcPr>
          <w:p w14:paraId="2C261A7A"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4CD27B5C" w14:textId="77777777" w:rsidR="00D63C4D" w:rsidRDefault="00D63C4D" w:rsidP="00A669A4">
            <w:pPr>
              <w:pStyle w:val="TBodynormalNumber"/>
              <w:keepNext/>
            </w:pPr>
            <w:r>
              <w:t>886</w:t>
            </w:r>
          </w:p>
        </w:tc>
        <w:tc>
          <w:tcPr>
            <w:tcW w:w="119" w:type="dxa"/>
            <w:vAlign w:val="bottom"/>
          </w:tcPr>
          <w:p w14:paraId="41D34560"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61193C41" w14:textId="77777777" w:rsidR="00D63C4D" w:rsidRDefault="00D63C4D" w:rsidP="00A669A4">
            <w:pPr>
              <w:pStyle w:val="TBodynormalNumber"/>
              <w:keepNext/>
            </w:pPr>
            <w:r>
              <w:t>857</w:t>
            </w:r>
          </w:p>
        </w:tc>
        <w:tc>
          <w:tcPr>
            <w:tcW w:w="119" w:type="dxa"/>
            <w:vAlign w:val="bottom"/>
          </w:tcPr>
          <w:p w14:paraId="2029754A"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71854C08" w14:textId="77777777" w:rsidR="00D63C4D" w:rsidRDefault="00D63C4D" w:rsidP="00A669A4">
            <w:pPr>
              <w:pStyle w:val="TBodynormalNumber"/>
              <w:keepNext/>
            </w:pPr>
            <w:r>
              <w:t>-3</w:t>
            </w:r>
          </w:p>
        </w:tc>
      </w:tr>
      <w:tr w:rsidR="00D63C4D" w14:paraId="48964454" w14:textId="77777777" w:rsidTr="00A669A4">
        <w:tc>
          <w:tcPr>
            <w:tcW w:w="2914" w:type="dxa"/>
            <w:tcBorders>
              <w:top w:val="single" w:sz="4" w:space="0" w:color="A59C94"/>
              <w:bottom w:val="single" w:sz="4" w:space="0" w:color="A59C94"/>
            </w:tcBorders>
            <w:vAlign w:val="bottom"/>
          </w:tcPr>
          <w:p w14:paraId="463D5D33" w14:textId="77777777" w:rsidR="00D63C4D" w:rsidRDefault="00D63C4D" w:rsidP="00A669A4">
            <w:pPr>
              <w:pStyle w:val="TBodynormalText"/>
            </w:pPr>
            <w:r>
              <w:t>Nutrition &amp; Care</w:t>
            </w:r>
          </w:p>
        </w:tc>
        <w:tc>
          <w:tcPr>
            <w:tcW w:w="119" w:type="dxa"/>
            <w:vAlign w:val="bottom"/>
          </w:tcPr>
          <w:p w14:paraId="3B2D4618"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52E6D505" w14:textId="77777777" w:rsidR="00D63C4D" w:rsidRDefault="00D63C4D" w:rsidP="00A669A4">
            <w:pPr>
              <w:pStyle w:val="TBodynormalNumber"/>
              <w:keepNext/>
            </w:pPr>
            <w:r>
              <w:t>2.922</w:t>
            </w:r>
          </w:p>
        </w:tc>
        <w:tc>
          <w:tcPr>
            <w:tcW w:w="119" w:type="dxa"/>
            <w:vAlign w:val="bottom"/>
          </w:tcPr>
          <w:p w14:paraId="7C86F389"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039BCFD" w14:textId="77777777" w:rsidR="00D63C4D" w:rsidRDefault="00D63C4D" w:rsidP="00A669A4">
            <w:pPr>
              <w:pStyle w:val="TBodynormalNumber"/>
              <w:keepNext/>
            </w:pPr>
            <w:r>
              <w:t>2.992</w:t>
            </w:r>
          </w:p>
        </w:tc>
        <w:tc>
          <w:tcPr>
            <w:tcW w:w="119" w:type="dxa"/>
            <w:vAlign w:val="bottom"/>
          </w:tcPr>
          <w:p w14:paraId="2214173F"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7CC7D7C" w14:textId="77777777" w:rsidR="00D63C4D" w:rsidRDefault="00D63C4D" w:rsidP="00A669A4">
            <w:pPr>
              <w:pStyle w:val="TBodynormalNumber"/>
              <w:keepNext/>
            </w:pPr>
            <w:r>
              <w:t>2</w:t>
            </w:r>
          </w:p>
        </w:tc>
        <w:tc>
          <w:tcPr>
            <w:tcW w:w="119" w:type="dxa"/>
            <w:vAlign w:val="bottom"/>
          </w:tcPr>
          <w:p w14:paraId="7AF707B0"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1EEDEB3" w14:textId="77777777" w:rsidR="00D63C4D" w:rsidRDefault="00D63C4D" w:rsidP="00A669A4">
            <w:pPr>
              <w:pStyle w:val="TBodynormalNumber"/>
              <w:keepNext/>
            </w:pPr>
            <w:r>
              <w:t>462</w:t>
            </w:r>
          </w:p>
        </w:tc>
        <w:tc>
          <w:tcPr>
            <w:tcW w:w="119" w:type="dxa"/>
            <w:vAlign w:val="bottom"/>
          </w:tcPr>
          <w:p w14:paraId="73E26B4A"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03AF63C" w14:textId="77777777" w:rsidR="00D63C4D" w:rsidRDefault="00D63C4D" w:rsidP="00A669A4">
            <w:pPr>
              <w:pStyle w:val="TBodynormalNumber"/>
              <w:keepNext/>
            </w:pPr>
            <w:r>
              <w:t>560</w:t>
            </w:r>
          </w:p>
        </w:tc>
        <w:tc>
          <w:tcPr>
            <w:tcW w:w="119" w:type="dxa"/>
            <w:vAlign w:val="bottom"/>
          </w:tcPr>
          <w:p w14:paraId="01053B7C"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0C7B5CD" w14:textId="77777777" w:rsidR="00D63C4D" w:rsidRDefault="00D63C4D" w:rsidP="00A669A4">
            <w:pPr>
              <w:pStyle w:val="TBodynormalNumber"/>
              <w:keepNext/>
            </w:pPr>
            <w:r>
              <w:t>21</w:t>
            </w:r>
          </w:p>
        </w:tc>
      </w:tr>
      <w:tr w:rsidR="00D63C4D" w14:paraId="04F37B13" w14:textId="77777777" w:rsidTr="00A669A4">
        <w:tc>
          <w:tcPr>
            <w:tcW w:w="2914" w:type="dxa"/>
            <w:tcBorders>
              <w:top w:val="single" w:sz="4" w:space="0" w:color="A59C94"/>
              <w:bottom w:val="single" w:sz="4" w:space="0" w:color="A59C94"/>
            </w:tcBorders>
            <w:vAlign w:val="bottom"/>
          </w:tcPr>
          <w:p w14:paraId="47C81B10" w14:textId="77777777" w:rsidR="00D63C4D" w:rsidRDefault="00D63C4D" w:rsidP="00A669A4">
            <w:pPr>
              <w:pStyle w:val="TBodynormalText"/>
            </w:pPr>
            <w:r>
              <w:t>Smart Materials</w:t>
            </w:r>
          </w:p>
        </w:tc>
        <w:tc>
          <w:tcPr>
            <w:tcW w:w="119" w:type="dxa"/>
            <w:vAlign w:val="bottom"/>
          </w:tcPr>
          <w:p w14:paraId="62C318C4"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199FCE1" w14:textId="77777777" w:rsidR="00D63C4D" w:rsidRDefault="00D63C4D" w:rsidP="00A669A4">
            <w:pPr>
              <w:pStyle w:val="TBodynormalNumber"/>
              <w:keepNext/>
            </w:pPr>
            <w:r>
              <w:t>3.371</w:t>
            </w:r>
          </w:p>
        </w:tc>
        <w:tc>
          <w:tcPr>
            <w:tcW w:w="119" w:type="dxa"/>
            <w:vAlign w:val="bottom"/>
          </w:tcPr>
          <w:p w14:paraId="3B87303C"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4C52483C" w14:textId="77777777" w:rsidR="00D63C4D" w:rsidRDefault="00D63C4D" w:rsidP="00A669A4">
            <w:pPr>
              <w:pStyle w:val="TBodynormalNumber"/>
              <w:keepNext/>
            </w:pPr>
            <w:r>
              <w:t>3.235</w:t>
            </w:r>
          </w:p>
        </w:tc>
        <w:tc>
          <w:tcPr>
            <w:tcW w:w="119" w:type="dxa"/>
            <w:vAlign w:val="bottom"/>
          </w:tcPr>
          <w:p w14:paraId="0BAA08DB"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152271FC" w14:textId="77777777" w:rsidR="00D63C4D" w:rsidRDefault="00D63C4D" w:rsidP="00A669A4">
            <w:pPr>
              <w:pStyle w:val="TBodynormalNumber"/>
              <w:keepNext/>
            </w:pPr>
            <w:r>
              <w:t>-4</w:t>
            </w:r>
          </w:p>
        </w:tc>
        <w:tc>
          <w:tcPr>
            <w:tcW w:w="119" w:type="dxa"/>
            <w:vAlign w:val="bottom"/>
          </w:tcPr>
          <w:p w14:paraId="657B7B67"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D3A1AB9" w14:textId="77777777" w:rsidR="00D63C4D" w:rsidRDefault="00D63C4D" w:rsidP="00A669A4">
            <w:pPr>
              <w:pStyle w:val="TBodynormalNumber"/>
              <w:keepNext/>
            </w:pPr>
            <w:r>
              <w:t>651</w:t>
            </w:r>
          </w:p>
        </w:tc>
        <w:tc>
          <w:tcPr>
            <w:tcW w:w="119" w:type="dxa"/>
            <w:vAlign w:val="bottom"/>
          </w:tcPr>
          <w:p w14:paraId="49201229"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E657866" w14:textId="77777777" w:rsidR="00D63C4D" w:rsidRDefault="00D63C4D" w:rsidP="00A669A4">
            <w:pPr>
              <w:pStyle w:val="TBodynormalNumber"/>
              <w:keepNext/>
            </w:pPr>
            <w:r>
              <w:t>529</w:t>
            </w:r>
          </w:p>
        </w:tc>
        <w:tc>
          <w:tcPr>
            <w:tcW w:w="119" w:type="dxa"/>
            <w:vAlign w:val="bottom"/>
          </w:tcPr>
          <w:p w14:paraId="45C8C229"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1CD8852" w14:textId="77777777" w:rsidR="00D63C4D" w:rsidRDefault="00D63C4D" w:rsidP="00A669A4">
            <w:pPr>
              <w:pStyle w:val="TBodynormalNumber"/>
              <w:keepNext/>
            </w:pPr>
            <w:r>
              <w:t>-19</w:t>
            </w:r>
          </w:p>
        </w:tc>
      </w:tr>
      <w:tr w:rsidR="00D63C4D" w14:paraId="1F878044" w14:textId="77777777" w:rsidTr="00A669A4">
        <w:tc>
          <w:tcPr>
            <w:tcW w:w="2914" w:type="dxa"/>
            <w:tcBorders>
              <w:top w:val="single" w:sz="4" w:space="0" w:color="A59C94"/>
              <w:bottom w:val="single" w:sz="4" w:space="0" w:color="A59C94"/>
            </w:tcBorders>
            <w:vAlign w:val="bottom"/>
          </w:tcPr>
          <w:p w14:paraId="0BC52DBF" w14:textId="77777777" w:rsidR="00D63C4D" w:rsidRDefault="00D63C4D" w:rsidP="00A669A4">
            <w:pPr>
              <w:pStyle w:val="TBodynormalText"/>
            </w:pPr>
            <w:r>
              <w:t>Performance Materials</w:t>
            </w:r>
          </w:p>
        </w:tc>
        <w:tc>
          <w:tcPr>
            <w:tcW w:w="119" w:type="dxa"/>
            <w:vAlign w:val="bottom"/>
          </w:tcPr>
          <w:p w14:paraId="2678A173"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CD680EE" w14:textId="77777777" w:rsidR="00D63C4D" w:rsidRDefault="00D63C4D" w:rsidP="00A669A4">
            <w:pPr>
              <w:pStyle w:val="TBodynormalNumber"/>
              <w:keepNext/>
            </w:pPr>
            <w:r>
              <w:t>2.634</w:t>
            </w:r>
          </w:p>
        </w:tc>
        <w:tc>
          <w:tcPr>
            <w:tcW w:w="119" w:type="dxa"/>
            <w:vAlign w:val="bottom"/>
          </w:tcPr>
          <w:p w14:paraId="4C1D2797"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584B2E3" w14:textId="77777777" w:rsidR="00D63C4D" w:rsidRDefault="00D63C4D" w:rsidP="00A669A4">
            <w:pPr>
              <w:pStyle w:val="TBodynormalNumber"/>
              <w:keepNext/>
            </w:pPr>
            <w:r>
              <w:t>1.983</w:t>
            </w:r>
          </w:p>
        </w:tc>
        <w:tc>
          <w:tcPr>
            <w:tcW w:w="119" w:type="dxa"/>
            <w:vAlign w:val="bottom"/>
          </w:tcPr>
          <w:p w14:paraId="1ECF5894"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1385DC64" w14:textId="77777777" w:rsidR="00D63C4D" w:rsidRDefault="00D63C4D" w:rsidP="00A669A4">
            <w:pPr>
              <w:pStyle w:val="TBodynormalNumber"/>
              <w:keepNext/>
            </w:pPr>
            <w:r>
              <w:t>-25</w:t>
            </w:r>
          </w:p>
        </w:tc>
        <w:tc>
          <w:tcPr>
            <w:tcW w:w="119" w:type="dxa"/>
            <w:vAlign w:val="bottom"/>
          </w:tcPr>
          <w:p w14:paraId="1164ABC4"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5E1E43F6" w14:textId="77777777" w:rsidR="00D63C4D" w:rsidRDefault="00D63C4D" w:rsidP="00A669A4">
            <w:pPr>
              <w:pStyle w:val="TBodynormalNumber"/>
              <w:keepNext/>
            </w:pPr>
            <w:r>
              <w:t>248</w:t>
            </w:r>
          </w:p>
        </w:tc>
        <w:tc>
          <w:tcPr>
            <w:tcW w:w="119" w:type="dxa"/>
            <w:vAlign w:val="bottom"/>
          </w:tcPr>
          <w:p w14:paraId="4A221254"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825F1D1" w14:textId="77777777" w:rsidR="00D63C4D" w:rsidRDefault="00D63C4D" w:rsidP="00A669A4">
            <w:pPr>
              <w:pStyle w:val="TBodynormalNumber"/>
              <w:keepNext/>
            </w:pPr>
            <w:r>
              <w:t>88</w:t>
            </w:r>
          </w:p>
        </w:tc>
        <w:tc>
          <w:tcPr>
            <w:tcW w:w="119" w:type="dxa"/>
            <w:vAlign w:val="bottom"/>
          </w:tcPr>
          <w:p w14:paraId="02BA957A"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B0525C9" w14:textId="77777777" w:rsidR="00D63C4D" w:rsidRDefault="00D63C4D" w:rsidP="00A669A4">
            <w:pPr>
              <w:pStyle w:val="TBodynormalNumber"/>
              <w:keepNext/>
            </w:pPr>
            <w:r>
              <w:t>-65</w:t>
            </w:r>
          </w:p>
        </w:tc>
      </w:tr>
      <w:tr w:rsidR="00D63C4D" w14:paraId="18DE7C48" w14:textId="77777777" w:rsidTr="00A669A4">
        <w:tc>
          <w:tcPr>
            <w:tcW w:w="2914" w:type="dxa"/>
            <w:tcBorders>
              <w:top w:val="single" w:sz="4" w:space="0" w:color="A59C94"/>
              <w:bottom w:val="single" w:sz="4" w:space="0" w:color="A59C94"/>
            </w:tcBorders>
            <w:vAlign w:val="bottom"/>
          </w:tcPr>
          <w:p w14:paraId="2C507EEE" w14:textId="77777777" w:rsidR="00D63C4D" w:rsidRDefault="00D63C4D" w:rsidP="00A669A4">
            <w:pPr>
              <w:pStyle w:val="TBodynormalText"/>
            </w:pPr>
            <w:r>
              <w:t>Services</w:t>
            </w:r>
          </w:p>
        </w:tc>
        <w:tc>
          <w:tcPr>
            <w:tcW w:w="119" w:type="dxa"/>
            <w:vAlign w:val="bottom"/>
          </w:tcPr>
          <w:p w14:paraId="27223C37"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676CD5F5" w14:textId="77777777" w:rsidR="00D63C4D" w:rsidRDefault="00D63C4D" w:rsidP="00A669A4">
            <w:pPr>
              <w:pStyle w:val="TBodynormalNumber"/>
              <w:keepNext/>
            </w:pPr>
            <w:r>
              <w:t>763</w:t>
            </w:r>
          </w:p>
        </w:tc>
        <w:tc>
          <w:tcPr>
            <w:tcW w:w="119" w:type="dxa"/>
            <w:vAlign w:val="bottom"/>
          </w:tcPr>
          <w:p w14:paraId="5558F8E3"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150F0FC" w14:textId="77777777" w:rsidR="00D63C4D" w:rsidRDefault="00D63C4D" w:rsidP="00A669A4">
            <w:pPr>
              <w:pStyle w:val="TBodynormalNumber"/>
              <w:keepNext/>
            </w:pPr>
            <w:r>
              <w:t>734</w:t>
            </w:r>
          </w:p>
        </w:tc>
        <w:tc>
          <w:tcPr>
            <w:tcW w:w="119" w:type="dxa"/>
            <w:vAlign w:val="bottom"/>
          </w:tcPr>
          <w:p w14:paraId="2939C931"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8E827E1" w14:textId="77777777" w:rsidR="00D63C4D" w:rsidRDefault="00D63C4D" w:rsidP="00A669A4">
            <w:pPr>
              <w:pStyle w:val="TBodynormalNumber"/>
              <w:keepNext/>
            </w:pPr>
            <w:r>
              <w:t>-4</w:t>
            </w:r>
          </w:p>
        </w:tc>
        <w:tc>
          <w:tcPr>
            <w:tcW w:w="119" w:type="dxa"/>
            <w:vAlign w:val="bottom"/>
          </w:tcPr>
          <w:p w14:paraId="6D4EBCBA"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00AB0B2F" w14:textId="77777777" w:rsidR="00D63C4D" w:rsidRDefault="00D63C4D" w:rsidP="00A669A4">
            <w:pPr>
              <w:pStyle w:val="TBodynormalNumber"/>
              <w:keepNext/>
            </w:pPr>
            <w:r>
              <w:t>122</w:t>
            </w:r>
          </w:p>
        </w:tc>
        <w:tc>
          <w:tcPr>
            <w:tcW w:w="119" w:type="dxa"/>
            <w:vAlign w:val="bottom"/>
          </w:tcPr>
          <w:p w14:paraId="3CD8B4DC"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09F2AE5" w14:textId="77777777" w:rsidR="00D63C4D" w:rsidRDefault="00D63C4D" w:rsidP="00A669A4">
            <w:pPr>
              <w:pStyle w:val="TBodynormalNumber"/>
              <w:keepNext/>
            </w:pPr>
            <w:r>
              <w:t>92</w:t>
            </w:r>
          </w:p>
        </w:tc>
        <w:tc>
          <w:tcPr>
            <w:tcW w:w="119" w:type="dxa"/>
            <w:vAlign w:val="bottom"/>
          </w:tcPr>
          <w:p w14:paraId="553D89BA"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34D98C0C" w14:textId="77777777" w:rsidR="00D63C4D" w:rsidRDefault="00D63C4D" w:rsidP="00A669A4">
            <w:pPr>
              <w:pStyle w:val="TBodynormalNumber"/>
              <w:keepNext/>
            </w:pPr>
            <w:r>
              <w:t>-25</w:t>
            </w:r>
          </w:p>
        </w:tc>
      </w:tr>
      <w:tr w:rsidR="00D63C4D" w14:paraId="32C22759" w14:textId="77777777" w:rsidTr="00A669A4">
        <w:tc>
          <w:tcPr>
            <w:tcW w:w="2914" w:type="dxa"/>
            <w:tcBorders>
              <w:top w:val="single" w:sz="4" w:space="0" w:color="A59C94"/>
              <w:bottom w:val="single" w:sz="4" w:space="0" w:color="A59C94"/>
            </w:tcBorders>
            <w:vAlign w:val="bottom"/>
          </w:tcPr>
          <w:p w14:paraId="2A529A6B" w14:textId="77777777" w:rsidR="00D63C4D" w:rsidRDefault="00D63C4D" w:rsidP="00A669A4">
            <w:pPr>
              <w:pStyle w:val="TBodynormalText"/>
            </w:pPr>
            <w:r>
              <w:t>Corporate, andere Aktivitäten, Konsolidierung</w:t>
            </w:r>
          </w:p>
        </w:tc>
        <w:tc>
          <w:tcPr>
            <w:tcW w:w="119" w:type="dxa"/>
            <w:vAlign w:val="bottom"/>
          </w:tcPr>
          <w:p w14:paraId="3DFAC08E"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57B9DE94" w14:textId="77777777" w:rsidR="00D63C4D" w:rsidRDefault="00D63C4D" w:rsidP="00A669A4">
            <w:pPr>
              <w:pStyle w:val="TBodynormalNumber"/>
              <w:keepNext/>
            </w:pPr>
            <w:r>
              <w:t>37</w:t>
            </w:r>
          </w:p>
        </w:tc>
        <w:tc>
          <w:tcPr>
            <w:tcW w:w="119" w:type="dxa"/>
            <w:vAlign w:val="bottom"/>
          </w:tcPr>
          <w:p w14:paraId="109CA930"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5134C9C" w14:textId="77777777" w:rsidR="00D63C4D" w:rsidRDefault="00D63C4D" w:rsidP="00A669A4">
            <w:pPr>
              <w:pStyle w:val="TBodynormalNumber"/>
              <w:keepNext/>
            </w:pPr>
            <w:r>
              <w:t>30</w:t>
            </w:r>
          </w:p>
        </w:tc>
        <w:tc>
          <w:tcPr>
            <w:tcW w:w="119" w:type="dxa"/>
            <w:vAlign w:val="bottom"/>
          </w:tcPr>
          <w:p w14:paraId="306EE306"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9083BAA" w14:textId="77777777" w:rsidR="00D63C4D" w:rsidRDefault="00D63C4D" w:rsidP="00A669A4">
            <w:pPr>
              <w:pStyle w:val="TBodynormalNumber"/>
              <w:keepNext/>
            </w:pPr>
            <w:r>
              <w:t>-19</w:t>
            </w:r>
          </w:p>
        </w:tc>
        <w:tc>
          <w:tcPr>
            <w:tcW w:w="119" w:type="dxa"/>
            <w:vAlign w:val="bottom"/>
          </w:tcPr>
          <w:p w14:paraId="3BE5C478"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78AF1605" w14:textId="77777777" w:rsidR="00D63C4D" w:rsidRDefault="00D63C4D" w:rsidP="00A669A4">
            <w:pPr>
              <w:pStyle w:val="TBodynormalNumber"/>
              <w:keepNext/>
            </w:pPr>
            <w:r>
              <w:t>-216</w:t>
            </w:r>
          </w:p>
        </w:tc>
        <w:tc>
          <w:tcPr>
            <w:tcW w:w="119" w:type="dxa"/>
            <w:vAlign w:val="bottom"/>
          </w:tcPr>
          <w:p w14:paraId="6FECA344"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44065CE" w14:textId="77777777" w:rsidR="00D63C4D" w:rsidRDefault="00D63C4D" w:rsidP="00A669A4">
            <w:pPr>
              <w:pStyle w:val="TBodynormalNumber"/>
              <w:keepNext/>
            </w:pPr>
            <w:r>
              <w:t>-220</w:t>
            </w:r>
          </w:p>
        </w:tc>
        <w:tc>
          <w:tcPr>
            <w:tcW w:w="119" w:type="dxa"/>
            <w:vAlign w:val="bottom"/>
          </w:tcPr>
          <w:p w14:paraId="158E84A7"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1783B4F7" w14:textId="77777777" w:rsidR="00D63C4D" w:rsidRDefault="00D63C4D" w:rsidP="00A669A4">
            <w:pPr>
              <w:pStyle w:val="TBodynormalNumber"/>
              <w:keepNext/>
            </w:pPr>
            <w:r>
              <w:t>2</w:t>
            </w:r>
          </w:p>
        </w:tc>
      </w:tr>
      <w:tr w:rsidR="00D63C4D" w14:paraId="0B8219DB" w14:textId="77777777" w:rsidTr="00A669A4">
        <w:tc>
          <w:tcPr>
            <w:tcW w:w="2914" w:type="dxa"/>
            <w:tcBorders>
              <w:top w:val="single" w:sz="4" w:space="0" w:color="A59C94"/>
              <w:bottom w:val="single" w:sz="16" w:space="0" w:color="991D85"/>
            </w:tcBorders>
            <w:vAlign w:val="bottom"/>
          </w:tcPr>
          <w:p w14:paraId="5D6C3CF9" w14:textId="77777777" w:rsidR="00D63C4D" w:rsidRDefault="00D63C4D" w:rsidP="00A669A4">
            <w:pPr>
              <w:pStyle w:val="TBodytotalText"/>
            </w:pPr>
            <w:r>
              <w:t>Konzern</w:t>
            </w:r>
          </w:p>
        </w:tc>
        <w:tc>
          <w:tcPr>
            <w:tcW w:w="119" w:type="dxa"/>
            <w:tcBorders>
              <w:bottom w:val="single" w:sz="16" w:space="0" w:color="991D85"/>
            </w:tcBorders>
            <w:vAlign w:val="bottom"/>
          </w:tcPr>
          <w:p w14:paraId="1C6C0CC7"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7832EC7B" w14:textId="77777777" w:rsidR="00D63C4D" w:rsidRDefault="00D63C4D" w:rsidP="00A669A4">
            <w:pPr>
              <w:pStyle w:val="TBodytotalNumber"/>
            </w:pPr>
            <w:r>
              <w:t>13.108</w:t>
            </w:r>
          </w:p>
        </w:tc>
        <w:tc>
          <w:tcPr>
            <w:tcW w:w="119" w:type="dxa"/>
            <w:tcBorders>
              <w:bottom w:val="single" w:sz="16" w:space="0" w:color="991D85"/>
            </w:tcBorders>
            <w:vAlign w:val="bottom"/>
          </w:tcPr>
          <w:p w14:paraId="54A721BE" w14:textId="77777777" w:rsidR="00D63C4D" w:rsidRDefault="00D63C4D"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2AC667FE" w14:textId="77777777" w:rsidR="00D63C4D" w:rsidRDefault="00D63C4D" w:rsidP="00A669A4">
            <w:pPr>
              <w:pStyle w:val="TBodytotalNumber"/>
            </w:pPr>
            <w:r>
              <w:t>12.199</w:t>
            </w:r>
          </w:p>
        </w:tc>
        <w:tc>
          <w:tcPr>
            <w:tcW w:w="119" w:type="dxa"/>
            <w:tcBorders>
              <w:bottom w:val="single" w:sz="16" w:space="0" w:color="991D85"/>
            </w:tcBorders>
            <w:vAlign w:val="bottom"/>
          </w:tcPr>
          <w:p w14:paraId="18903951"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6FF39B2F" w14:textId="77777777" w:rsidR="00D63C4D" w:rsidRDefault="00D63C4D" w:rsidP="00A669A4">
            <w:pPr>
              <w:pStyle w:val="TBodytotalNumber"/>
            </w:pPr>
            <w:r>
              <w:t>-7</w:t>
            </w:r>
          </w:p>
        </w:tc>
        <w:tc>
          <w:tcPr>
            <w:tcW w:w="119" w:type="dxa"/>
            <w:tcBorders>
              <w:bottom w:val="single" w:sz="16" w:space="0" w:color="991D85"/>
            </w:tcBorders>
            <w:vAlign w:val="bottom"/>
          </w:tcPr>
          <w:p w14:paraId="6F955434"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4ECC5217" w14:textId="77777777" w:rsidR="00D63C4D" w:rsidRDefault="00D63C4D" w:rsidP="00A669A4">
            <w:pPr>
              <w:pStyle w:val="TBodytotalNumber"/>
            </w:pPr>
            <w:r>
              <w:t>2.153</w:t>
            </w:r>
          </w:p>
        </w:tc>
        <w:tc>
          <w:tcPr>
            <w:tcW w:w="119" w:type="dxa"/>
            <w:tcBorders>
              <w:bottom w:val="single" w:sz="16" w:space="0" w:color="991D85"/>
            </w:tcBorders>
            <w:vAlign w:val="bottom"/>
          </w:tcPr>
          <w:p w14:paraId="0F76184C" w14:textId="77777777" w:rsidR="00D63C4D" w:rsidRDefault="00D63C4D"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408ECA37" w14:textId="77777777" w:rsidR="00D63C4D" w:rsidRDefault="00D63C4D" w:rsidP="00A669A4">
            <w:pPr>
              <w:pStyle w:val="TBodytotalNumber"/>
            </w:pPr>
            <w:r>
              <w:t>1.906</w:t>
            </w:r>
          </w:p>
        </w:tc>
        <w:tc>
          <w:tcPr>
            <w:tcW w:w="119" w:type="dxa"/>
            <w:tcBorders>
              <w:bottom w:val="single" w:sz="16" w:space="0" w:color="991D85"/>
            </w:tcBorders>
            <w:vAlign w:val="bottom"/>
          </w:tcPr>
          <w:p w14:paraId="40F07912"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64618041" w14:textId="77777777" w:rsidR="00D63C4D" w:rsidRDefault="00D63C4D" w:rsidP="00A669A4">
            <w:pPr>
              <w:pStyle w:val="TBodytotalNumber"/>
            </w:pPr>
            <w:r>
              <w:t>-11</w:t>
            </w:r>
          </w:p>
        </w:tc>
      </w:tr>
      <w:bookmarkEnd w:id="11"/>
      <w:bookmarkEnd w:id="12"/>
    </w:tbl>
    <w:p w14:paraId="19268AAD" w14:textId="77777777" w:rsidR="00D63C4D" w:rsidRDefault="00D63C4D" w:rsidP="00D63C4D"/>
    <w:tbl>
      <w:tblPr>
        <w:tblW w:w="0" w:type="dxa"/>
        <w:tblLayout w:type="fixed"/>
        <w:tblCellMar>
          <w:left w:w="0" w:type="dxa"/>
          <w:right w:w="0" w:type="dxa"/>
        </w:tblCellMar>
        <w:tblLook w:val="04A0" w:firstRow="1" w:lastRow="0" w:firstColumn="1" w:lastColumn="0" w:noHBand="0" w:noVBand="1"/>
        <w:tblCaption w:val="Tabelle: Pressemitteilung deutsch!outarea_mitarbeiter"/>
        <w:tblDescription w:val="SNEID_5352dfd3d7a64723926fd369843894ac"/>
      </w:tblPr>
      <w:tblGrid>
        <w:gridCol w:w="7473"/>
        <w:gridCol w:w="119"/>
        <w:gridCol w:w="1021"/>
        <w:gridCol w:w="119"/>
        <w:gridCol w:w="1021"/>
      </w:tblGrid>
      <w:tr w:rsidR="00D63C4D" w14:paraId="2D98FDC8" w14:textId="77777777" w:rsidTr="00A669A4">
        <w:tc>
          <w:tcPr>
            <w:tcW w:w="7473" w:type="dxa"/>
            <w:vAlign w:val="bottom"/>
          </w:tcPr>
          <w:p w14:paraId="76A2D773" w14:textId="77777777" w:rsidR="00D63C4D" w:rsidRDefault="00D63C4D" w:rsidP="00A669A4">
            <w:pPr>
              <w:pStyle w:val="TTitleText"/>
            </w:pPr>
            <w:bookmarkStart w:id="13" w:name="SNEID_5352dfd3d7a64723926fd369843894ac"/>
            <w:bookmarkStart w:id="14" w:name="SNAMD_038c6e1329bd4e5ca812f41e6aa3e7ec"/>
          </w:p>
          <w:p w14:paraId="6030575A" w14:textId="77777777" w:rsidR="00D63C4D" w:rsidRDefault="00D63C4D" w:rsidP="00A669A4">
            <w:pPr>
              <w:pStyle w:val="TTitleText"/>
            </w:pPr>
            <w:r>
              <w:t>Mitarbeiter nach Segmenten</w:t>
            </w:r>
          </w:p>
        </w:tc>
        <w:tc>
          <w:tcPr>
            <w:tcW w:w="119" w:type="dxa"/>
            <w:vAlign w:val="bottom"/>
          </w:tcPr>
          <w:p w14:paraId="39940C36" w14:textId="77777777" w:rsidR="00D63C4D" w:rsidRDefault="00D63C4D" w:rsidP="00A669A4">
            <w:pPr>
              <w:pStyle w:val="TTitleText"/>
            </w:pPr>
          </w:p>
        </w:tc>
        <w:tc>
          <w:tcPr>
            <w:tcW w:w="1021" w:type="dxa"/>
            <w:vAlign w:val="bottom"/>
          </w:tcPr>
          <w:p w14:paraId="7FA53866" w14:textId="77777777" w:rsidR="00D63C4D" w:rsidRDefault="00D63C4D" w:rsidP="00A669A4">
            <w:pPr>
              <w:pStyle w:val="TTitleText"/>
            </w:pPr>
          </w:p>
        </w:tc>
        <w:tc>
          <w:tcPr>
            <w:tcW w:w="119" w:type="dxa"/>
            <w:vAlign w:val="bottom"/>
          </w:tcPr>
          <w:p w14:paraId="00719785" w14:textId="77777777" w:rsidR="00D63C4D" w:rsidRDefault="00D63C4D" w:rsidP="00A669A4">
            <w:pPr>
              <w:pStyle w:val="TTitleText"/>
            </w:pPr>
          </w:p>
        </w:tc>
        <w:tc>
          <w:tcPr>
            <w:tcW w:w="1021" w:type="dxa"/>
            <w:vAlign w:val="bottom"/>
          </w:tcPr>
          <w:p w14:paraId="20CE838A" w14:textId="77777777" w:rsidR="00D63C4D" w:rsidRDefault="00D63C4D" w:rsidP="00A669A4">
            <w:pPr>
              <w:pStyle w:val="TTitleText"/>
            </w:pPr>
          </w:p>
        </w:tc>
      </w:tr>
      <w:tr w:rsidR="00D63C4D" w14:paraId="3713B01F" w14:textId="77777777" w:rsidTr="00A669A4">
        <w:tc>
          <w:tcPr>
            <w:tcW w:w="7473" w:type="dxa"/>
            <w:tcBorders>
              <w:top w:val="single" w:sz="8" w:space="0" w:color="000000"/>
            </w:tcBorders>
            <w:vAlign w:val="bottom"/>
          </w:tcPr>
          <w:p w14:paraId="614CACEC" w14:textId="77777777" w:rsidR="00D63C4D" w:rsidRDefault="00D63C4D" w:rsidP="00A669A4">
            <w:pPr>
              <w:pStyle w:val="TDummy"/>
              <w:keepNext/>
            </w:pPr>
          </w:p>
        </w:tc>
        <w:tc>
          <w:tcPr>
            <w:tcW w:w="119" w:type="dxa"/>
            <w:tcBorders>
              <w:top w:val="single" w:sz="8" w:space="0" w:color="000000"/>
            </w:tcBorders>
            <w:vAlign w:val="bottom"/>
          </w:tcPr>
          <w:p w14:paraId="5592B1F6" w14:textId="77777777" w:rsidR="00D63C4D" w:rsidRDefault="00D63C4D" w:rsidP="00A669A4">
            <w:pPr>
              <w:pStyle w:val="TDummy"/>
              <w:keepNext/>
            </w:pPr>
          </w:p>
        </w:tc>
        <w:tc>
          <w:tcPr>
            <w:tcW w:w="1021" w:type="dxa"/>
            <w:tcBorders>
              <w:top w:val="single" w:sz="8" w:space="0" w:color="000000"/>
            </w:tcBorders>
            <w:vAlign w:val="bottom"/>
          </w:tcPr>
          <w:p w14:paraId="77C212D0" w14:textId="77777777" w:rsidR="00D63C4D" w:rsidRDefault="00D63C4D" w:rsidP="00A669A4">
            <w:pPr>
              <w:pStyle w:val="TDummy"/>
              <w:keepNext/>
            </w:pPr>
          </w:p>
        </w:tc>
        <w:tc>
          <w:tcPr>
            <w:tcW w:w="119" w:type="dxa"/>
            <w:tcBorders>
              <w:top w:val="single" w:sz="8" w:space="0" w:color="000000"/>
            </w:tcBorders>
            <w:vAlign w:val="bottom"/>
          </w:tcPr>
          <w:p w14:paraId="6B58BDB4" w14:textId="77777777" w:rsidR="00D63C4D" w:rsidRDefault="00D63C4D" w:rsidP="00A669A4">
            <w:pPr>
              <w:pStyle w:val="TDummy"/>
              <w:keepNext/>
            </w:pPr>
          </w:p>
        </w:tc>
        <w:tc>
          <w:tcPr>
            <w:tcW w:w="1021" w:type="dxa"/>
            <w:tcBorders>
              <w:top w:val="single" w:sz="8" w:space="0" w:color="000000"/>
            </w:tcBorders>
            <w:vAlign w:val="bottom"/>
          </w:tcPr>
          <w:p w14:paraId="4672A43E" w14:textId="77777777" w:rsidR="00D63C4D" w:rsidRDefault="00D63C4D" w:rsidP="00A669A4">
            <w:pPr>
              <w:pStyle w:val="TDummy"/>
              <w:keepNext/>
            </w:pPr>
          </w:p>
        </w:tc>
      </w:tr>
      <w:tr w:rsidR="00D63C4D" w14:paraId="13F20857" w14:textId="77777777" w:rsidTr="00A669A4">
        <w:tc>
          <w:tcPr>
            <w:tcW w:w="7473" w:type="dxa"/>
            <w:tcBorders>
              <w:bottom w:val="single" w:sz="4" w:space="0" w:color="000000"/>
            </w:tcBorders>
            <w:shd w:val="clear" w:color="000000" w:fill="FFFFFF"/>
            <w:vAlign w:val="bottom"/>
          </w:tcPr>
          <w:p w14:paraId="095867B0" w14:textId="77777777" w:rsidR="00D63C4D" w:rsidRDefault="00D63C4D" w:rsidP="00A669A4">
            <w:pPr>
              <w:pStyle w:val="THeadsingleText"/>
            </w:pPr>
          </w:p>
        </w:tc>
        <w:tc>
          <w:tcPr>
            <w:tcW w:w="119" w:type="dxa"/>
            <w:vAlign w:val="bottom"/>
          </w:tcPr>
          <w:p w14:paraId="1F8E76EC" w14:textId="77777777" w:rsidR="00D63C4D" w:rsidRDefault="00D63C4D" w:rsidP="00A669A4">
            <w:pPr>
              <w:pStyle w:val="THeadsingleNumber"/>
            </w:pPr>
          </w:p>
        </w:tc>
        <w:tc>
          <w:tcPr>
            <w:tcW w:w="1021" w:type="dxa"/>
            <w:tcBorders>
              <w:bottom w:val="single" w:sz="4" w:space="0" w:color="000000"/>
            </w:tcBorders>
            <w:shd w:val="clear" w:color="000000" w:fill="FFFFFF"/>
            <w:vAlign w:val="bottom"/>
          </w:tcPr>
          <w:p w14:paraId="3775071D" w14:textId="77777777" w:rsidR="00D63C4D" w:rsidRDefault="00D63C4D" w:rsidP="00A669A4">
            <w:pPr>
              <w:pStyle w:val="THeadsingleNumber"/>
            </w:pPr>
            <w:r>
              <w:t>31.12.2019</w:t>
            </w:r>
          </w:p>
        </w:tc>
        <w:tc>
          <w:tcPr>
            <w:tcW w:w="119" w:type="dxa"/>
            <w:vAlign w:val="bottom"/>
          </w:tcPr>
          <w:p w14:paraId="1F9EB309" w14:textId="77777777" w:rsidR="00D63C4D" w:rsidRDefault="00D63C4D" w:rsidP="00A669A4">
            <w:pPr>
              <w:pStyle w:val="THeadsingleNumber"/>
            </w:pPr>
          </w:p>
        </w:tc>
        <w:tc>
          <w:tcPr>
            <w:tcW w:w="1021" w:type="dxa"/>
            <w:tcBorders>
              <w:bottom w:val="single" w:sz="4" w:space="0" w:color="000000"/>
            </w:tcBorders>
            <w:shd w:val="clear" w:color="000000" w:fill="FFFFFF"/>
            <w:vAlign w:val="bottom"/>
          </w:tcPr>
          <w:p w14:paraId="26472F65" w14:textId="77777777" w:rsidR="00D63C4D" w:rsidRDefault="00D63C4D" w:rsidP="00A669A4">
            <w:pPr>
              <w:pStyle w:val="THeadsingleNumberbold"/>
            </w:pPr>
            <w:r>
              <w:t>31.12.2020</w:t>
            </w:r>
          </w:p>
        </w:tc>
      </w:tr>
      <w:tr w:rsidR="00D63C4D" w14:paraId="14F4FDB4" w14:textId="77777777" w:rsidTr="00A669A4">
        <w:tc>
          <w:tcPr>
            <w:tcW w:w="7473" w:type="dxa"/>
            <w:tcBorders>
              <w:top w:val="single" w:sz="4" w:space="0" w:color="000000"/>
              <w:bottom w:val="single" w:sz="4" w:space="0" w:color="A59C94"/>
            </w:tcBorders>
            <w:vAlign w:val="bottom"/>
          </w:tcPr>
          <w:p w14:paraId="4736B27E" w14:textId="77777777" w:rsidR="00D63C4D" w:rsidRDefault="00D63C4D" w:rsidP="00A669A4">
            <w:pPr>
              <w:pStyle w:val="TBodynormalText"/>
            </w:pPr>
            <w:r>
              <w:t>Specialty Additives</w:t>
            </w:r>
          </w:p>
        </w:tc>
        <w:tc>
          <w:tcPr>
            <w:tcW w:w="119" w:type="dxa"/>
            <w:vAlign w:val="bottom"/>
          </w:tcPr>
          <w:p w14:paraId="186A7127" w14:textId="77777777" w:rsidR="00D63C4D" w:rsidRDefault="00D63C4D" w:rsidP="00A669A4">
            <w:pPr>
              <w:pStyle w:val="TBodynormalNumber"/>
              <w:keepNext/>
            </w:pPr>
          </w:p>
        </w:tc>
        <w:tc>
          <w:tcPr>
            <w:tcW w:w="1021" w:type="dxa"/>
            <w:tcBorders>
              <w:top w:val="single" w:sz="4" w:space="0" w:color="000000"/>
              <w:bottom w:val="single" w:sz="4" w:space="0" w:color="A59C94"/>
            </w:tcBorders>
            <w:vAlign w:val="bottom"/>
          </w:tcPr>
          <w:p w14:paraId="4683B5CA" w14:textId="77777777" w:rsidR="00D63C4D" w:rsidRDefault="00D63C4D" w:rsidP="00A669A4">
            <w:pPr>
              <w:pStyle w:val="TBodynormalNumber"/>
              <w:keepNext/>
            </w:pPr>
            <w:r>
              <w:t>3.651</w:t>
            </w:r>
          </w:p>
        </w:tc>
        <w:tc>
          <w:tcPr>
            <w:tcW w:w="119" w:type="dxa"/>
            <w:vAlign w:val="bottom"/>
          </w:tcPr>
          <w:p w14:paraId="45E1F14E" w14:textId="77777777" w:rsidR="00D63C4D" w:rsidRDefault="00D63C4D"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07F31EE5" w14:textId="77777777" w:rsidR="00D63C4D" w:rsidRDefault="00D63C4D" w:rsidP="00A669A4">
            <w:pPr>
              <w:pStyle w:val="TBodynormalNumber"/>
              <w:keepNext/>
            </w:pPr>
            <w:r>
              <w:t>3.666</w:t>
            </w:r>
          </w:p>
        </w:tc>
      </w:tr>
      <w:tr w:rsidR="00D63C4D" w14:paraId="60635DF5" w14:textId="77777777" w:rsidTr="00A669A4">
        <w:tc>
          <w:tcPr>
            <w:tcW w:w="7473" w:type="dxa"/>
            <w:tcBorders>
              <w:top w:val="single" w:sz="4" w:space="0" w:color="A59C94"/>
              <w:bottom w:val="single" w:sz="4" w:space="0" w:color="A59C94"/>
            </w:tcBorders>
            <w:vAlign w:val="bottom"/>
          </w:tcPr>
          <w:p w14:paraId="15B592F2" w14:textId="77777777" w:rsidR="00D63C4D" w:rsidRDefault="00D63C4D" w:rsidP="00A669A4">
            <w:pPr>
              <w:pStyle w:val="TBodynormalText"/>
            </w:pPr>
            <w:r>
              <w:t>Nutrition &amp; Care</w:t>
            </w:r>
          </w:p>
        </w:tc>
        <w:tc>
          <w:tcPr>
            <w:tcW w:w="119" w:type="dxa"/>
            <w:vAlign w:val="bottom"/>
          </w:tcPr>
          <w:p w14:paraId="71D31C5C"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AF3FC71" w14:textId="77777777" w:rsidR="00D63C4D" w:rsidRDefault="00D63C4D" w:rsidP="00A669A4">
            <w:pPr>
              <w:pStyle w:val="TBodynormalNumber"/>
              <w:keepNext/>
            </w:pPr>
            <w:r>
              <w:t>5.322</w:t>
            </w:r>
          </w:p>
        </w:tc>
        <w:tc>
          <w:tcPr>
            <w:tcW w:w="119" w:type="dxa"/>
            <w:vAlign w:val="bottom"/>
          </w:tcPr>
          <w:p w14:paraId="0D28612E"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124EB4A" w14:textId="77777777" w:rsidR="00D63C4D" w:rsidRDefault="00D63C4D" w:rsidP="00A669A4">
            <w:pPr>
              <w:pStyle w:val="TBodynormalNumber"/>
              <w:keepNext/>
            </w:pPr>
            <w:r>
              <w:t>5.295</w:t>
            </w:r>
          </w:p>
        </w:tc>
      </w:tr>
      <w:tr w:rsidR="00D63C4D" w14:paraId="76CFBEA8" w14:textId="77777777" w:rsidTr="00A669A4">
        <w:tc>
          <w:tcPr>
            <w:tcW w:w="7473" w:type="dxa"/>
            <w:tcBorders>
              <w:top w:val="single" w:sz="4" w:space="0" w:color="A59C94"/>
              <w:bottom w:val="single" w:sz="4" w:space="0" w:color="A59C94"/>
            </w:tcBorders>
            <w:vAlign w:val="bottom"/>
          </w:tcPr>
          <w:p w14:paraId="5F18654E" w14:textId="77777777" w:rsidR="00D63C4D" w:rsidRDefault="00D63C4D" w:rsidP="00A669A4">
            <w:pPr>
              <w:pStyle w:val="TBodynormalText"/>
            </w:pPr>
            <w:r>
              <w:t>Smart Materials</w:t>
            </w:r>
          </w:p>
        </w:tc>
        <w:tc>
          <w:tcPr>
            <w:tcW w:w="119" w:type="dxa"/>
            <w:vAlign w:val="bottom"/>
          </w:tcPr>
          <w:p w14:paraId="45F3515B"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284D8BE" w14:textId="77777777" w:rsidR="00D63C4D" w:rsidRDefault="00D63C4D" w:rsidP="00A669A4">
            <w:pPr>
              <w:pStyle w:val="TBodynormalNumber"/>
              <w:keepNext/>
            </w:pPr>
            <w:r>
              <w:t>7.065</w:t>
            </w:r>
          </w:p>
        </w:tc>
        <w:tc>
          <w:tcPr>
            <w:tcW w:w="119" w:type="dxa"/>
            <w:vAlign w:val="bottom"/>
          </w:tcPr>
          <w:p w14:paraId="5D7BABD7"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C7C477F" w14:textId="77777777" w:rsidR="00D63C4D" w:rsidRDefault="00D63C4D" w:rsidP="00A669A4">
            <w:pPr>
              <w:pStyle w:val="TBodynormalNumber"/>
              <w:keepNext/>
            </w:pPr>
            <w:r>
              <w:t>7.874</w:t>
            </w:r>
          </w:p>
        </w:tc>
      </w:tr>
      <w:tr w:rsidR="00D63C4D" w14:paraId="5EB04B63" w14:textId="77777777" w:rsidTr="00A669A4">
        <w:tc>
          <w:tcPr>
            <w:tcW w:w="7473" w:type="dxa"/>
            <w:tcBorders>
              <w:top w:val="single" w:sz="4" w:space="0" w:color="A59C94"/>
              <w:bottom w:val="single" w:sz="4" w:space="0" w:color="A59C94"/>
            </w:tcBorders>
            <w:vAlign w:val="bottom"/>
          </w:tcPr>
          <w:p w14:paraId="1AD2260C" w14:textId="77777777" w:rsidR="00D63C4D" w:rsidRDefault="00D63C4D" w:rsidP="00A669A4">
            <w:pPr>
              <w:pStyle w:val="TBodynormalText"/>
            </w:pPr>
            <w:r>
              <w:t>Performance Materials</w:t>
            </w:r>
          </w:p>
        </w:tc>
        <w:tc>
          <w:tcPr>
            <w:tcW w:w="119" w:type="dxa"/>
            <w:vAlign w:val="bottom"/>
          </w:tcPr>
          <w:p w14:paraId="0B0A6D4F"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2A102619" w14:textId="77777777" w:rsidR="00D63C4D" w:rsidRDefault="00D63C4D" w:rsidP="00A669A4">
            <w:pPr>
              <w:pStyle w:val="TBodynormalNumber"/>
              <w:keepNext/>
            </w:pPr>
            <w:r>
              <w:t>1.645</w:t>
            </w:r>
          </w:p>
        </w:tc>
        <w:tc>
          <w:tcPr>
            <w:tcW w:w="119" w:type="dxa"/>
            <w:vAlign w:val="bottom"/>
          </w:tcPr>
          <w:p w14:paraId="489261FA"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32C585F1" w14:textId="77777777" w:rsidR="00D63C4D" w:rsidRDefault="00D63C4D" w:rsidP="00A669A4">
            <w:pPr>
              <w:pStyle w:val="TBodynormalNumber"/>
              <w:keepNext/>
            </w:pPr>
            <w:r>
              <w:t>1.639</w:t>
            </w:r>
          </w:p>
        </w:tc>
      </w:tr>
      <w:tr w:rsidR="00D63C4D" w14:paraId="2D0D6031" w14:textId="77777777" w:rsidTr="00A669A4">
        <w:tc>
          <w:tcPr>
            <w:tcW w:w="7473" w:type="dxa"/>
            <w:tcBorders>
              <w:top w:val="single" w:sz="4" w:space="0" w:color="A59C94"/>
              <w:bottom w:val="single" w:sz="4" w:space="0" w:color="A59C94"/>
            </w:tcBorders>
            <w:vAlign w:val="bottom"/>
          </w:tcPr>
          <w:p w14:paraId="2C48F0D4" w14:textId="77777777" w:rsidR="00D63C4D" w:rsidRDefault="00D63C4D" w:rsidP="00A669A4">
            <w:pPr>
              <w:pStyle w:val="TBodynormalText"/>
            </w:pPr>
            <w:r>
              <w:t>Services</w:t>
            </w:r>
          </w:p>
        </w:tc>
        <w:tc>
          <w:tcPr>
            <w:tcW w:w="119" w:type="dxa"/>
            <w:vAlign w:val="bottom"/>
          </w:tcPr>
          <w:p w14:paraId="054BC305"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46854DAA" w14:textId="77777777" w:rsidR="00D63C4D" w:rsidRDefault="00D63C4D" w:rsidP="00A669A4">
            <w:pPr>
              <w:pStyle w:val="TBodynormalNumber"/>
              <w:keepNext/>
            </w:pPr>
            <w:r>
              <w:t>14.428</w:t>
            </w:r>
          </w:p>
        </w:tc>
        <w:tc>
          <w:tcPr>
            <w:tcW w:w="119" w:type="dxa"/>
            <w:vAlign w:val="bottom"/>
          </w:tcPr>
          <w:p w14:paraId="03014B1A"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3AADDD7" w14:textId="77777777" w:rsidR="00D63C4D" w:rsidRDefault="00D63C4D" w:rsidP="00A669A4">
            <w:pPr>
              <w:pStyle w:val="TBodynormalNumber"/>
              <w:keepNext/>
            </w:pPr>
            <w:r>
              <w:t>14.310</w:t>
            </w:r>
          </w:p>
        </w:tc>
      </w:tr>
      <w:tr w:rsidR="00D63C4D" w14:paraId="04A6F161" w14:textId="77777777" w:rsidTr="00A669A4">
        <w:tc>
          <w:tcPr>
            <w:tcW w:w="7473" w:type="dxa"/>
            <w:tcBorders>
              <w:top w:val="single" w:sz="4" w:space="0" w:color="A59C94"/>
              <w:bottom w:val="single" w:sz="4" w:space="0" w:color="A59C94"/>
            </w:tcBorders>
            <w:vAlign w:val="bottom"/>
          </w:tcPr>
          <w:p w14:paraId="75301588" w14:textId="77777777" w:rsidR="00D63C4D" w:rsidRDefault="00D63C4D" w:rsidP="00A669A4">
            <w:pPr>
              <w:pStyle w:val="TBodynormalText"/>
            </w:pPr>
            <w:r>
              <w:t>Corporate, andere Aktivitäten, Konsolidierung</w:t>
            </w:r>
          </w:p>
        </w:tc>
        <w:tc>
          <w:tcPr>
            <w:tcW w:w="119" w:type="dxa"/>
            <w:vAlign w:val="bottom"/>
          </w:tcPr>
          <w:p w14:paraId="50B70B86" w14:textId="77777777" w:rsidR="00D63C4D" w:rsidRDefault="00D63C4D" w:rsidP="00A669A4">
            <w:pPr>
              <w:pStyle w:val="TBodynormalNumber"/>
              <w:keepNext/>
            </w:pPr>
          </w:p>
        </w:tc>
        <w:tc>
          <w:tcPr>
            <w:tcW w:w="1021" w:type="dxa"/>
            <w:tcBorders>
              <w:top w:val="single" w:sz="4" w:space="0" w:color="A59C94"/>
              <w:bottom w:val="single" w:sz="4" w:space="0" w:color="A59C94"/>
            </w:tcBorders>
            <w:vAlign w:val="bottom"/>
          </w:tcPr>
          <w:p w14:paraId="1941FD1B" w14:textId="77777777" w:rsidR="00D63C4D" w:rsidRDefault="00D63C4D" w:rsidP="00A669A4">
            <w:pPr>
              <w:pStyle w:val="TBodynormalNumber"/>
              <w:keepNext/>
            </w:pPr>
            <w:r>
              <w:t>312</w:t>
            </w:r>
          </w:p>
        </w:tc>
        <w:tc>
          <w:tcPr>
            <w:tcW w:w="119" w:type="dxa"/>
            <w:vAlign w:val="bottom"/>
          </w:tcPr>
          <w:p w14:paraId="1397BE17" w14:textId="77777777" w:rsidR="00D63C4D" w:rsidRDefault="00D63C4D"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3F64448F" w14:textId="77777777" w:rsidR="00D63C4D" w:rsidRDefault="00D63C4D" w:rsidP="00A669A4">
            <w:pPr>
              <w:pStyle w:val="TBodynormalNumber"/>
              <w:keepNext/>
            </w:pPr>
            <w:r>
              <w:t>322</w:t>
            </w:r>
          </w:p>
        </w:tc>
      </w:tr>
      <w:tr w:rsidR="00D63C4D" w14:paraId="40636981" w14:textId="77777777" w:rsidTr="00A669A4">
        <w:tc>
          <w:tcPr>
            <w:tcW w:w="7473" w:type="dxa"/>
            <w:tcBorders>
              <w:top w:val="single" w:sz="4" w:space="0" w:color="A59C94"/>
              <w:bottom w:val="single" w:sz="16" w:space="0" w:color="991D85"/>
            </w:tcBorders>
            <w:vAlign w:val="bottom"/>
          </w:tcPr>
          <w:p w14:paraId="1386B809" w14:textId="77777777" w:rsidR="00D63C4D" w:rsidRDefault="00D63C4D" w:rsidP="00A669A4">
            <w:pPr>
              <w:pStyle w:val="TBodytotalText"/>
            </w:pPr>
            <w:r>
              <w:t>Evonik</w:t>
            </w:r>
          </w:p>
        </w:tc>
        <w:tc>
          <w:tcPr>
            <w:tcW w:w="119" w:type="dxa"/>
            <w:tcBorders>
              <w:bottom w:val="single" w:sz="16" w:space="0" w:color="991D85"/>
            </w:tcBorders>
            <w:vAlign w:val="bottom"/>
          </w:tcPr>
          <w:p w14:paraId="324EE1AD" w14:textId="77777777" w:rsidR="00D63C4D" w:rsidRDefault="00D63C4D" w:rsidP="00A669A4">
            <w:pPr>
              <w:pStyle w:val="TBodytotalNumber"/>
            </w:pPr>
          </w:p>
        </w:tc>
        <w:tc>
          <w:tcPr>
            <w:tcW w:w="1021" w:type="dxa"/>
            <w:tcBorders>
              <w:top w:val="single" w:sz="4" w:space="0" w:color="A59C94"/>
              <w:bottom w:val="single" w:sz="16" w:space="0" w:color="991D85"/>
            </w:tcBorders>
            <w:vAlign w:val="bottom"/>
          </w:tcPr>
          <w:p w14:paraId="17346A5D" w14:textId="77777777" w:rsidR="00D63C4D" w:rsidRDefault="00D63C4D" w:rsidP="00A669A4">
            <w:pPr>
              <w:pStyle w:val="TBodytotalNumber"/>
            </w:pPr>
            <w:r>
              <w:t>32.423</w:t>
            </w:r>
          </w:p>
        </w:tc>
        <w:tc>
          <w:tcPr>
            <w:tcW w:w="119" w:type="dxa"/>
            <w:tcBorders>
              <w:bottom w:val="single" w:sz="16" w:space="0" w:color="991D85"/>
            </w:tcBorders>
            <w:vAlign w:val="bottom"/>
          </w:tcPr>
          <w:p w14:paraId="50E13452" w14:textId="77777777" w:rsidR="00D63C4D" w:rsidRDefault="00D63C4D"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6AA11304" w14:textId="77777777" w:rsidR="00D63C4D" w:rsidRDefault="00D63C4D" w:rsidP="00A669A4">
            <w:pPr>
              <w:pStyle w:val="TBodytotalNumber"/>
            </w:pPr>
            <w:r>
              <w:t>33.106</w:t>
            </w:r>
          </w:p>
        </w:tc>
      </w:tr>
      <w:bookmarkEnd w:id="13"/>
      <w:bookmarkEnd w:id="14"/>
    </w:tbl>
    <w:p w14:paraId="40D346AA" w14:textId="77777777" w:rsidR="00D63C4D" w:rsidRDefault="00D63C4D" w:rsidP="00D63C4D"/>
    <w:p w14:paraId="044AC892" w14:textId="77777777" w:rsidR="00D63C4D" w:rsidRPr="009744CD" w:rsidRDefault="00D63C4D" w:rsidP="00D63C4D"/>
    <w:p w14:paraId="2FF32350" w14:textId="77777777" w:rsidR="00077041" w:rsidRDefault="00077041" w:rsidP="00077041">
      <w:pPr>
        <w:autoSpaceDE w:val="0"/>
        <w:autoSpaceDN w:val="0"/>
        <w:adjustRightInd w:val="0"/>
        <w:spacing w:line="220" w:lineRule="exact"/>
        <w:rPr>
          <w:rFonts w:cs="Lucida Sans Unicode"/>
          <w:b/>
          <w:bCs/>
          <w:sz w:val="18"/>
          <w:szCs w:val="18"/>
        </w:rPr>
      </w:pPr>
    </w:p>
    <w:p w14:paraId="1D9E75ED" w14:textId="77777777" w:rsidR="00077041" w:rsidRDefault="00077041" w:rsidP="00077041">
      <w:pPr>
        <w:autoSpaceDE w:val="0"/>
        <w:autoSpaceDN w:val="0"/>
        <w:adjustRightInd w:val="0"/>
        <w:spacing w:line="220" w:lineRule="exact"/>
        <w:rPr>
          <w:rFonts w:cs="Lucida Sans Unicode"/>
          <w:b/>
          <w:bCs/>
          <w:sz w:val="18"/>
          <w:szCs w:val="18"/>
        </w:rPr>
      </w:pPr>
    </w:p>
    <w:p w14:paraId="28A24EA6" w14:textId="77777777" w:rsidR="00077041" w:rsidRDefault="00077041" w:rsidP="00077041">
      <w:pPr>
        <w:autoSpaceDE w:val="0"/>
        <w:autoSpaceDN w:val="0"/>
        <w:adjustRightInd w:val="0"/>
        <w:spacing w:line="220" w:lineRule="exact"/>
        <w:rPr>
          <w:rFonts w:cs="Lucida Sans Unicode"/>
          <w:b/>
          <w:bCs/>
          <w:sz w:val="18"/>
          <w:szCs w:val="18"/>
        </w:rPr>
      </w:pPr>
    </w:p>
    <w:p w14:paraId="1997FDFA" w14:textId="77777777" w:rsidR="00077041" w:rsidRDefault="00077041" w:rsidP="00B82236">
      <w:pPr>
        <w:spacing w:line="240" w:lineRule="auto"/>
        <w:rPr>
          <w:b/>
          <w:bCs/>
        </w:rPr>
      </w:pPr>
    </w:p>
    <w:p w14:paraId="7EC066E2" w14:textId="77777777" w:rsidR="00077041" w:rsidRDefault="00077041" w:rsidP="00B82236">
      <w:pPr>
        <w:spacing w:line="240" w:lineRule="auto"/>
        <w:rPr>
          <w:b/>
          <w:bCs/>
        </w:rPr>
      </w:pPr>
    </w:p>
    <w:p w14:paraId="63083547" w14:textId="77777777" w:rsidR="00604CBA" w:rsidRDefault="00604CBA" w:rsidP="00B82236">
      <w:pPr>
        <w:spacing w:line="240" w:lineRule="auto"/>
        <w:rPr>
          <w:rFonts w:cs="Lucida Sans Unicode"/>
          <w:b/>
          <w:bCs/>
          <w:sz w:val="18"/>
          <w:szCs w:val="18"/>
        </w:rPr>
      </w:pPr>
    </w:p>
    <w:p w14:paraId="4B46D917" w14:textId="677C0E82" w:rsidR="00604CBA" w:rsidRDefault="00604CBA" w:rsidP="00B82236">
      <w:pPr>
        <w:spacing w:line="240" w:lineRule="auto"/>
        <w:rPr>
          <w:rFonts w:cs="Lucida Sans Unicode"/>
          <w:b/>
          <w:bCs/>
          <w:sz w:val="18"/>
          <w:szCs w:val="18"/>
        </w:rPr>
      </w:pPr>
    </w:p>
    <w:p w14:paraId="4355F4C3" w14:textId="77777777" w:rsidR="00F57266" w:rsidRDefault="00F57266" w:rsidP="005A7590">
      <w:pPr>
        <w:autoSpaceDE w:val="0"/>
        <w:autoSpaceDN w:val="0"/>
        <w:adjustRightInd w:val="0"/>
        <w:spacing w:line="220" w:lineRule="exact"/>
        <w:rPr>
          <w:rFonts w:cs="Lucida Sans Unicode"/>
          <w:b/>
          <w:bCs/>
          <w:sz w:val="18"/>
          <w:szCs w:val="18"/>
        </w:rPr>
      </w:pPr>
    </w:p>
    <w:p w14:paraId="5FE82354" w14:textId="2D5224AE" w:rsidR="005A7590" w:rsidRDefault="005A7590" w:rsidP="005A7590">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67A047F2" w14:textId="77777777" w:rsidR="005A7590" w:rsidRDefault="005A7590" w:rsidP="005A7590">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2020</w:t>
      </w:r>
      <w:r w:rsidRPr="007D5CD9">
        <w:rPr>
          <w:rFonts w:cs="Lucida Sans Unicode"/>
          <w:bCs/>
          <w:sz w:val="18"/>
          <w:szCs w:val="18"/>
        </w:rPr>
        <w:t xml:space="preserve"> einen Umsatz von</w:t>
      </w:r>
    </w:p>
    <w:p w14:paraId="0AF5077A" w14:textId="77777777" w:rsidR="005A7590" w:rsidRPr="007D5CD9" w:rsidRDefault="005A7590" w:rsidP="005A7590">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2,2</w:t>
      </w:r>
      <w:r w:rsidRPr="007D5CD9">
        <w:rPr>
          <w:rFonts w:cs="Lucida Sans Unicode"/>
          <w:bCs/>
          <w:sz w:val="18"/>
          <w:szCs w:val="18"/>
        </w:rPr>
        <w:t xml:space="preserve"> Mrd. € und einen Gewinn (bereinigtes EBITDA) von </w:t>
      </w:r>
      <w:r>
        <w:rPr>
          <w:rFonts w:cs="Lucida Sans Unicode"/>
          <w:bCs/>
          <w:sz w:val="18"/>
          <w:szCs w:val="18"/>
        </w:rPr>
        <w:t>1,91</w:t>
      </w:r>
      <w:r w:rsidRPr="007D5CD9">
        <w:rPr>
          <w:rFonts w:cs="Lucida Sans Unicode"/>
          <w:bCs/>
          <w:sz w:val="18"/>
          <w:szCs w:val="18"/>
        </w:rPr>
        <w:t xml:space="preserve"> Mrd. €. Dabei geht Evonik weit über die Chemie hinaus, um den Kunden innovative, wertbringende und nachhaltige Lösungen zu schaffen. Mehr als 3</w:t>
      </w:r>
      <w:r>
        <w:rPr>
          <w:rFonts w:cs="Lucida Sans Unicode"/>
          <w:bCs/>
          <w:sz w:val="18"/>
          <w:szCs w:val="18"/>
        </w:rPr>
        <w:t>3</w:t>
      </w:r>
      <w:r w:rsidRPr="007D5CD9">
        <w:rPr>
          <w:rFonts w:cs="Lucida Sans Unicode"/>
          <w:bCs/>
          <w:sz w:val="18"/>
          <w:szCs w:val="18"/>
        </w:rPr>
        <w:t>.000 Mitarbeiter verbindet dabei ein gemeinsamer Antrieb: Wir wollen das Leben besser machen, Tag für Tag.</w:t>
      </w:r>
    </w:p>
    <w:p w14:paraId="752C90C2" w14:textId="77777777" w:rsidR="005A7590" w:rsidRDefault="005A7590" w:rsidP="005A7590">
      <w:pPr>
        <w:autoSpaceDE w:val="0"/>
        <w:autoSpaceDN w:val="0"/>
        <w:adjustRightInd w:val="0"/>
        <w:spacing w:line="220" w:lineRule="exact"/>
        <w:rPr>
          <w:rFonts w:cs="Lucida Sans Unicode"/>
          <w:b/>
          <w:bCs/>
          <w:sz w:val="18"/>
          <w:szCs w:val="18"/>
        </w:rPr>
      </w:pPr>
    </w:p>
    <w:p w14:paraId="49BA6095" w14:textId="77777777" w:rsidR="005A7590" w:rsidRDefault="005A7590" w:rsidP="005A7590">
      <w:pPr>
        <w:rPr>
          <w:sz w:val="18"/>
          <w:szCs w:val="18"/>
        </w:rPr>
      </w:pPr>
    </w:p>
    <w:p w14:paraId="0E180295" w14:textId="77777777" w:rsidR="005A7590" w:rsidRDefault="005A7590" w:rsidP="005A7590">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A27C86C" w14:textId="771AB3D0" w:rsidR="005A7590" w:rsidRDefault="005A7590" w:rsidP="005A7590">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340BD35" w14:textId="77777777" w:rsidR="005A7590" w:rsidRPr="000B1B97" w:rsidRDefault="005A7590" w:rsidP="005A7590">
      <w:pPr>
        <w:autoSpaceDE w:val="0"/>
        <w:autoSpaceDN w:val="0"/>
        <w:adjustRightInd w:val="0"/>
        <w:spacing w:line="220" w:lineRule="exact"/>
        <w:rPr>
          <w:rFonts w:cs="Lucida Sans Unicode"/>
          <w:sz w:val="18"/>
          <w:szCs w:val="18"/>
        </w:rPr>
      </w:pPr>
    </w:p>
    <w:p w14:paraId="24FC2901" w14:textId="77777777" w:rsidR="000B1B97" w:rsidRPr="000B1B97" w:rsidRDefault="000B1B97" w:rsidP="005A7590">
      <w:pPr>
        <w:spacing w:line="240" w:lineRule="auto"/>
        <w:rPr>
          <w:rFonts w:cs="Lucida Sans Unicode"/>
          <w:sz w:val="18"/>
          <w:szCs w:val="18"/>
        </w:rPr>
      </w:pPr>
    </w:p>
    <w:sectPr w:rsidR="000B1B97" w:rsidRPr="000B1B97" w:rsidSect="004E0A3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75CA" w14:textId="77777777" w:rsidR="00077041" w:rsidRDefault="00077041" w:rsidP="00FD1184">
      <w:r>
        <w:separator/>
      </w:r>
    </w:p>
  </w:endnote>
  <w:endnote w:type="continuationSeparator" w:id="0">
    <w:p w14:paraId="45E9689C" w14:textId="77777777" w:rsidR="00077041" w:rsidRDefault="0007704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Evonik Prokyon Medium">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83" w14:textId="77777777" w:rsidR="00077041" w:rsidRDefault="000770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494EDDD8" w:rsidR="00077041" w:rsidRDefault="00F54445">
    <w:pPr>
      <w:pStyle w:val="Fuzeile"/>
    </w:pPr>
    <w:r>
      <w:rPr>
        <w:noProof/>
      </w:rPr>
      <mc:AlternateContent>
        <mc:Choice Requires="wps">
          <w:drawing>
            <wp:anchor distT="0" distB="0" distL="114300" distR="114300" simplePos="0" relativeHeight="251670528" behindDoc="0" locked="0" layoutInCell="0" allowOverlap="1" wp14:anchorId="71A17671" wp14:editId="288F289B">
              <wp:simplePos x="0" y="0"/>
              <wp:positionH relativeFrom="page">
                <wp:posOffset>0</wp:posOffset>
              </wp:positionH>
              <wp:positionV relativeFrom="page">
                <wp:posOffset>10227945</wp:posOffset>
              </wp:positionV>
              <wp:extent cx="7560310" cy="273050"/>
              <wp:effectExtent l="0" t="0" r="0" b="12700"/>
              <wp:wrapNone/>
              <wp:docPr id="4" name="MSIPCM1ec4498080db06796908981f"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21695" w14:textId="3DA0EE3E" w:rsidR="00F54445" w:rsidRPr="00F54445" w:rsidRDefault="00F54445" w:rsidP="00F54445">
                          <w:pPr>
                            <w:rPr>
                              <w:rFonts w:ascii="Calibri" w:hAnsi="Calibri" w:cs="Calibri"/>
                              <w:color w:val="000000"/>
                              <w:sz w:val="20"/>
                            </w:rPr>
                          </w:pPr>
                          <w:r w:rsidRPr="00F54445">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A17671" id="_x0000_t202" coordsize="21600,21600" o:spt="202" path="m,l,21600r21600,l21600,xe">
              <v:stroke joinstyle="miter"/>
              <v:path gradientshapeok="t" o:connecttype="rect"/>
            </v:shapetype>
            <v:shape id="MSIPCM1ec4498080db06796908981f"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DyKWmKwAgAARw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46C21695" w14:textId="3DA0EE3E" w:rsidR="00F54445" w:rsidRPr="00F54445" w:rsidRDefault="00F54445" w:rsidP="00F54445">
                    <w:pPr>
                      <w:rPr>
                        <w:rFonts w:ascii="Calibri" w:hAnsi="Calibri" w:cs="Calibri"/>
                        <w:color w:val="000000"/>
                        <w:sz w:val="20"/>
                      </w:rPr>
                    </w:pPr>
                    <w:r w:rsidRPr="00F54445">
                      <w:rPr>
                        <w:rFonts w:ascii="Calibri" w:hAnsi="Calibri" w:cs="Calibri"/>
                        <w:color w:val="000000"/>
                        <w:sz w:val="20"/>
                      </w:rPr>
                      <w:t>[internal]</w:t>
                    </w:r>
                  </w:p>
                </w:txbxContent>
              </v:textbox>
              <w10:wrap anchorx="page" anchory="page"/>
            </v:shape>
          </w:pict>
        </mc:Fallback>
      </mc:AlternateContent>
    </w:r>
  </w:p>
  <w:p w14:paraId="25AD86C7" w14:textId="77777777" w:rsidR="00077041" w:rsidRDefault="0007704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3011D223" w:rsidR="00077041" w:rsidRDefault="00F54445" w:rsidP="00316EC0">
    <w:pPr>
      <w:pStyle w:val="Fuzeile"/>
    </w:pPr>
    <w:r>
      <w:rPr>
        <w:noProof/>
      </w:rPr>
      <mc:AlternateContent>
        <mc:Choice Requires="wps">
          <w:drawing>
            <wp:anchor distT="0" distB="0" distL="114300" distR="114300" simplePos="0" relativeHeight="251671552" behindDoc="0" locked="0" layoutInCell="0" allowOverlap="1" wp14:anchorId="36B75A03" wp14:editId="3F62FC78">
              <wp:simplePos x="0" y="0"/>
              <wp:positionH relativeFrom="page">
                <wp:posOffset>0</wp:posOffset>
              </wp:positionH>
              <wp:positionV relativeFrom="page">
                <wp:posOffset>10227945</wp:posOffset>
              </wp:positionV>
              <wp:extent cx="7560310" cy="273050"/>
              <wp:effectExtent l="0" t="0" r="0" b="12700"/>
              <wp:wrapNone/>
              <wp:docPr id="6" name="MSIPCMcf5347858b699be5dcce5e51"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F6143" w14:textId="75262E94" w:rsidR="00F54445" w:rsidRPr="00F54445" w:rsidRDefault="00F54445" w:rsidP="00F54445">
                          <w:pPr>
                            <w:rPr>
                              <w:rFonts w:ascii="Calibri" w:hAnsi="Calibri" w:cs="Calibri"/>
                              <w:color w:val="000000"/>
                              <w:sz w:val="20"/>
                            </w:rPr>
                          </w:pPr>
                          <w:r w:rsidRPr="00F54445">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B75A03" id="_x0000_t202" coordsize="21600,21600" o:spt="202" path="m,l,21600r21600,l21600,xe">
              <v:stroke joinstyle="miter"/>
              <v:path gradientshapeok="t" o:connecttype="rect"/>
            </v:shapetype>
            <v:shape id="MSIPCMcf5347858b699be5dcce5e51"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jviyetAIAAFA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17CF6143" w14:textId="75262E94" w:rsidR="00F54445" w:rsidRPr="00F54445" w:rsidRDefault="00F54445" w:rsidP="00F54445">
                    <w:pPr>
                      <w:rPr>
                        <w:rFonts w:ascii="Calibri" w:hAnsi="Calibri" w:cs="Calibri"/>
                        <w:color w:val="000000"/>
                        <w:sz w:val="20"/>
                      </w:rPr>
                    </w:pPr>
                    <w:r w:rsidRPr="00F54445">
                      <w:rPr>
                        <w:rFonts w:ascii="Calibri" w:hAnsi="Calibri" w:cs="Calibri"/>
                        <w:color w:val="000000"/>
                        <w:sz w:val="20"/>
                      </w:rPr>
                      <w:t>[internal]</w:t>
                    </w:r>
                  </w:p>
                </w:txbxContent>
              </v:textbox>
              <w10:wrap anchorx="page" anchory="page"/>
            </v:shape>
          </w:pict>
        </mc:Fallback>
      </mc:AlternateContent>
    </w:r>
  </w:p>
  <w:p w14:paraId="71D5BF5A" w14:textId="77777777" w:rsidR="00077041" w:rsidRPr="005225EC" w:rsidRDefault="0007704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B08C" w14:textId="77777777" w:rsidR="00077041" w:rsidRDefault="00077041" w:rsidP="00FD1184">
      <w:r>
        <w:separator/>
      </w:r>
    </w:p>
  </w:footnote>
  <w:footnote w:type="continuationSeparator" w:id="0">
    <w:p w14:paraId="280E793C" w14:textId="77777777" w:rsidR="00077041" w:rsidRDefault="0007704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EA0" w14:textId="77777777" w:rsidR="00077041" w:rsidRDefault="000770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077041" w:rsidRPr="006C35A6" w:rsidRDefault="00077041"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077041" w:rsidRPr="006C35A6" w:rsidRDefault="00077041">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4"/>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1BAD"/>
    <w:rsid w:val="00032EA8"/>
    <w:rsid w:val="00035360"/>
    <w:rsid w:val="00044EB8"/>
    <w:rsid w:val="00046D8D"/>
    <w:rsid w:val="00047E57"/>
    <w:rsid w:val="00052FB1"/>
    <w:rsid w:val="0006177F"/>
    <w:rsid w:val="00064561"/>
    <w:rsid w:val="000659FC"/>
    <w:rsid w:val="00077041"/>
    <w:rsid w:val="000810DC"/>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F262F"/>
    <w:rsid w:val="000F3F3C"/>
    <w:rsid w:val="000F47EF"/>
    <w:rsid w:val="000F53ED"/>
    <w:rsid w:val="000F70A3"/>
    <w:rsid w:val="0010109B"/>
    <w:rsid w:val="00102E05"/>
    <w:rsid w:val="00110640"/>
    <w:rsid w:val="001175D3"/>
    <w:rsid w:val="00121D9E"/>
    <w:rsid w:val="0012236D"/>
    <w:rsid w:val="00124443"/>
    <w:rsid w:val="001245F1"/>
    <w:rsid w:val="00124FF3"/>
    <w:rsid w:val="00130512"/>
    <w:rsid w:val="001407DF"/>
    <w:rsid w:val="00141B2B"/>
    <w:rsid w:val="001549E3"/>
    <w:rsid w:val="001625AF"/>
    <w:rsid w:val="001631E8"/>
    <w:rsid w:val="00165932"/>
    <w:rsid w:val="001678C8"/>
    <w:rsid w:val="0017309F"/>
    <w:rsid w:val="0017414F"/>
    <w:rsid w:val="00193955"/>
    <w:rsid w:val="00196518"/>
    <w:rsid w:val="001B206A"/>
    <w:rsid w:val="001B2FC7"/>
    <w:rsid w:val="001D1198"/>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B6293"/>
    <w:rsid w:val="002B645E"/>
    <w:rsid w:val="002B6B13"/>
    <w:rsid w:val="002C10C6"/>
    <w:rsid w:val="002C12A0"/>
    <w:rsid w:val="002C1787"/>
    <w:rsid w:val="002C503F"/>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4507F"/>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61471"/>
    <w:rsid w:val="00470C0A"/>
    <w:rsid w:val="00476F6F"/>
    <w:rsid w:val="0047761E"/>
    <w:rsid w:val="0048125C"/>
    <w:rsid w:val="004815AA"/>
    <w:rsid w:val="004820F9"/>
    <w:rsid w:val="0048608C"/>
    <w:rsid w:val="00491C7E"/>
    <w:rsid w:val="0049367A"/>
    <w:rsid w:val="004A28CF"/>
    <w:rsid w:val="004A5E45"/>
    <w:rsid w:val="004B3E35"/>
    <w:rsid w:val="004B5B18"/>
    <w:rsid w:val="004C28A5"/>
    <w:rsid w:val="004C520C"/>
    <w:rsid w:val="004C5E53"/>
    <w:rsid w:val="004E04B2"/>
    <w:rsid w:val="004E0A3F"/>
    <w:rsid w:val="004E1DCE"/>
    <w:rsid w:val="004E27F6"/>
    <w:rsid w:val="004E3505"/>
    <w:rsid w:val="004F0B24"/>
    <w:rsid w:val="004F1444"/>
    <w:rsid w:val="004F6283"/>
    <w:rsid w:val="005020EF"/>
    <w:rsid w:val="00502549"/>
    <w:rsid w:val="00503A70"/>
    <w:rsid w:val="00511269"/>
    <w:rsid w:val="005225B7"/>
    <w:rsid w:val="005225EC"/>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590"/>
    <w:rsid w:val="005A7794"/>
    <w:rsid w:val="005B1EDA"/>
    <w:rsid w:val="005B3BD7"/>
    <w:rsid w:val="005B6183"/>
    <w:rsid w:val="005E0397"/>
    <w:rsid w:val="005E48D0"/>
    <w:rsid w:val="005E799F"/>
    <w:rsid w:val="005F2092"/>
    <w:rsid w:val="005F234C"/>
    <w:rsid w:val="005F50D9"/>
    <w:rsid w:val="00604CBA"/>
    <w:rsid w:val="00605C02"/>
    <w:rsid w:val="00606A38"/>
    <w:rsid w:val="00623460"/>
    <w:rsid w:val="006338F8"/>
    <w:rsid w:val="00636C35"/>
    <w:rsid w:val="006436AC"/>
    <w:rsid w:val="00645F2F"/>
    <w:rsid w:val="00647919"/>
    <w:rsid w:val="00651F1E"/>
    <w:rsid w:val="00652A75"/>
    <w:rsid w:val="00654DEA"/>
    <w:rsid w:val="006651E2"/>
    <w:rsid w:val="006729D2"/>
    <w:rsid w:val="00686130"/>
    <w:rsid w:val="00691BAF"/>
    <w:rsid w:val="00696594"/>
    <w:rsid w:val="0069676A"/>
    <w:rsid w:val="006A1832"/>
    <w:rsid w:val="006A4A3D"/>
    <w:rsid w:val="006A581A"/>
    <w:rsid w:val="006A76BE"/>
    <w:rsid w:val="006C35A6"/>
    <w:rsid w:val="006C388A"/>
    <w:rsid w:val="006D2290"/>
    <w:rsid w:val="006D601A"/>
    <w:rsid w:val="006E2710"/>
    <w:rsid w:val="006E2F15"/>
    <w:rsid w:val="006E324E"/>
    <w:rsid w:val="006E4D53"/>
    <w:rsid w:val="006E5B66"/>
    <w:rsid w:val="006F1F4D"/>
    <w:rsid w:val="006F3AB9"/>
    <w:rsid w:val="006F4815"/>
    <w:rsid w:val="00702300"/>
    <w:rsid w:val="007045D6"/>
    <w:rsid w:val="0070784B"/>
    <w:rsid w:val="00717EDA"/>
    <w:rsid w:val="00720877"/>
    <w:rsid w:val="0072366D"/>
    <w:rsid w:val="00731495"/>
    <w:rsid w:val="00731918"/>
    <w:rsid w:val="0073260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42FA"/>
    <w:rsid w:val="007C701D"/>
    <w:rsid w:val="007D2F11"/>
    <w:rsid w:val="007D5CD9"/>
    <w:rsid w:val="007E025C"/>
    <w:rsid w:val="007E5A2B"/>
    <w:rsid w:val="007E7C76"/>
    <w:rsid w:val="007F1506"/>
    <w:rsid w:val="007F1D8A"/>
    <w:rsid w:val="007F200A"/>
    <w:rsid w:val="007F7609"/>
    <w:rsid w:val="00800AA9"/>
    <w:rsid w:val="0080550C"/>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1593C"/>
    <w:rsid w:val="00A16154"/>
    <w:rsid w:val="00A30BD0"/>
    <w:rsid w:val="00A333FB"/>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96896"/>
    <w:rsid w:val="00AA0DDF"/>
    <w:rsid w:val="00AB72BD"/>
    <w:rsid w:val="00AE3848"/>
    <w:rsid w:val="00AF0606"/>
    <w:rsid w:val="00B128FD"/>
    <w:rsid w:val="00B14FE2"/>
    <w:rsid w:val="00B2025B"/>
    <w:rsid w:val="00B24B96"/>
    <w:rsid w:val="00B2500C"/>
    <w:rsid w:val="00B300C4"/>
    <w:rsid w:val="00B31D5A"/>
    <w:rsid w:val="00B4158D"/>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44BC"/>
    <w:rsid w:val="00C14D25"/>
    <w:rsid w:val="00C21E67"/>
    <w:rsid w:val="00C21FFE"/>
    <w:rsid w:val="00C2259A"/>
    <w:rsid w:val="00C237D3"/>
    <w:rsid w:val="00C242F2"/>
    <w:rsid w:val="00C251AD"/>
    <w:rsid w:val="00C310A2"/>
    <w:rsid w:val="00C33407"/>
    <w:rsid w:val="00C40E5D"/>
    <w:rsid w:val="00C421AD"/>
    <w:rsid w:val="00C4228E"/>
    <w:rsid w:val="00C4300F"/>
    <w:rsid w:val="00C54187"/>
    <w:rsid w:val="00C559E0"/>
    <w:rsid w:val="00C60F15"/>
    <w:rsid w:val="00C62002"/>
    <w:rsid w:val="00C625BB"/>
    <w:rsid w:val="00C70A8F"/>
    <w:rsid w:val="00C73699"/>
    <w:rsid w:val="00C7664D"/>
    <w:rsid w:val="00C77E81"/>
    <w:rsid w:val="00C85C61"/>
    <w:rsid w:val="00C86A9B"/>
    <w:rsid w:val="00C879C2"/>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567"/>
    <w:rsid w:val="00D36822"/>
    <w:rsid w:val="00D418FB"/>
    <w:rsid w:val="00D46695"/>
    <w:rsid w:val="00D46DAB"/>
    <w:rsid w:val="00D5015F"/>
    <w:rsid w:val="00D50B3E"/>
    <w:rsid w:val="00D55961"/>
    <w:rsid w:val="00D60C11"/>
    <w:rsid w:val="00D60EE3"/>
    <w:rsid w:val="00D63C4D"/>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A696B"/>
    <w:rsid w:val="00EB0C3E"/>
    <w:rsid w:val="00EB75E1"/>
    <w:rsid w:val="00EC012C"/>
    <w:rsid w:val="00EC13F1"/>
    <w:rsid w:val="00EC1DFB"/>
    <w:rsid w:val="00EC2C4D"/>
    <w:rsid w:val="00EC4981"/>
    <w:rsid w:val="00ED11AA"/>
    <w:rsid w:val="00EE08B3"/>
    <w:rsid w:val="00EE127E"/>
    <w:rsid w:val="00EE3816"/>
    <w:rsid w:val="00EF071F"/>
    <w:rsid w:val="00EF0E68"/>
    <w:rsid w:val="00EF353E"/>
    <w:rsid w:val="00EF7CED"/>
    <w:rsid w:val="00EF7EB3"/>
    <w:rsid w:val="00F02BAF"/>
    <w:rsid w:val="00F07F0E"/>
    <w:rsid w:val="00F10F74"/>
    <w:rsid w:val="00F20F8F"/>
    <w:rsid w:val="00F24D2F"/>
    <w:rsid w:val="00F3261C"/>
    <w:rsid w:val="00F3389F"/>
    <w:rsid w:val="00F47702"/>
    <w:rsid w:val="00F54445"/>
    <w:rsid w:val="00F5602B"/>
    <w:rsid w:val="00F5608E"/>
    <w:rsid w:val="00F57266"/>
    <w:rsid w:val="00F66FEE"/>
    <w:rsid w:val="00F67DCB"/>
    <w:rsid w:val="00F708E8"/>
    <w:rsid w:val="00F74382"/>
    <w:rsid w:val="00F77541"/>
    <w:rsid w:val="00F87DB6"/>
    <w:rsid w:val="00F94E80"/>
    <w:rsid w:val="00FA151A"/>
    <w:rsid w:val="00FA30D7"/>
    <w:rsid w:val="00FA5164"/>
    <w:rsid w:val="00FA5F5C"/>
    <w:rsid w:val="00FA6612"/>
    <w:rsid w:val="00FD0461"/>
    <w:rsid w:val="00FD1184"/>
    <w:rsid w:val="00FD7EED"/>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210304_Q4 Reporting_DE</Description0>
    <DocumentTitle xmlns="3900a7cd-735b-4f56-a6f4-08d139dd6cc3">210304_Q4 Reporting_DE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DB18F110-F7C2-4260-A8C3-905217C6FAC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fc54ee6-4a5a-4e1c-aa1a-8ea26becada8"/>
    <ds:schemaRef ds:uri="50f88236-7816-4a28-a198-9a124b787654"/>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2A60DF-F34E-4D2D-BFD3-B8EFB55CE035}"/>
</file>

<file path=customXml/itemProps4.xml><?xml version="1.0" encoding="utf-8"?>
<ds:datastoreItem xmlns:ds="http://schemas.openxmlformats.org/officeDocument/2006/customXml" ds:itemID="{9C4365D8-A6E5-4AED-BF57-4DC6E0D4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9042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10484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Gayk, Katharina</cp:lastModifiedBy>
  <cp:revision>20</cp:revision>
  <cp:lastPrinted>2021-03-03T10:01:00Z</cp:lastPrinted>
  <dcterms:created xsi:type="dcterms:W3CDTF">2020-11-02T16:06:00Z</dcterms:created>
  <dcterms:modified xsi:type="dcterms:W3CDTF">2021-03-03T10:05:00Z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abda4ade-b73a-4575-9edb-0cfe0c309fd1_Enabled">
    <vt:lpwstr>true</vt:lpwstr>
  </property>
  <property fmtid="{D5CDD505-2E9C-101B-9397-08002B2CF9AE}" pid="4" name="MSIP_Label_abda4ade-b73a-4575-9edb-0cfe0c309fd1_SetDate">
    <vt:lpwstr>2021-03-03T10:05:47Z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89518246-1513-475b-bed2-31069b1ab99a</vt:lpwstr>
  </property>
  <property fmtid="{D5CDD505-2E9C-101B-9397-08002B2CF9AE}" pid="9" name="MSIP_Label_abda4ade-b73a-4575-9edb-0cfe0c309fd1_ContentBits">
    <vt:lpwstr>2</vt:lpwstr>
  </property>
</Properties>
</file>