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47707715" w:rsidR="00E74CF9" w:rsidRDefault="000E0D1F" w:rsidP="000B1B97">
            <w:pPr>
              <w:pStyle w:val="M8"/>
              <w:framePr w:wrap="auto" w:vAnchor="margin" w:hAnchor="text" w:xAlign="left" w:yAlign="inline"/>
              <w:suppressOverlap w:val="0"/>
              <w:rPr>
                <w:b/>
              </w:rPr>
            </w:pPr>
            <w:r>
              <w:rPr>
                <w:sz w:val="18"/>
                <w:szCs w:val="18"/>
              </w:rPr>
              <w:t>5. August</w:t>
            </w:r>
            <w:r w:rsidR="00A42607" w:rsidRPr="00E74CF9">
              <w:rPr>
                <w:sz w:val="18"/>
                <w:szCs w:val="18"/>
              </w:rPr>
              <w:t xml:space="preserve"> 202</w:t>
            </w:r>
            <w:r w:rsidR="006709F9">
              <w:rPr>
                <w:sz w:val="18"/>
                <w:szCs w:val="18"/>
              </w:rPr>
              <w:t>1</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70326E36" w14:textId="41C25D3D" w:rsidR="0012628E" w:rsidRPr="004136F3" w:rsidRDefault="0012628E" w:rsidP="0012628E">
      <w:pPr>
        <w:pStyle w:val="Titel"/>
        <w:rPr>
          <w:b w:val="0"/>
          <w:sz w:val="20"/>
          <w:szCs w:val="20"/>
          <w:u w:val="single"/>
        </w:rPr>
      </w:pPr>
      <w:bookmarkStart w:id="0" w:name="_Hlk38958809"/>
      <w:r w:rsidRPr="004136F3">
        <w:rPr>
          <w:b w:val="0"/>
          <w:sz w:val="20"/>
          <w:szCs w:val="20"/>
          <w:u w:val="single"/>
        </w:rPr>
        <w:t xml:space="preserve">Wirtschaftliche Eckdaten: </w:t>
      </w:r>
      <w:r w:rsidR="000E0D1F">
        <w:rPr>
          <w:b w:val="0"/>
          <w:sz w:val="20"/>
          <w:szCs w:val="20"/>
          <w:u w:val="single"/>
        </w:rPr>
        <w:t>2</w:t>
      </w:r>
      <w:r>
        <w:rPr>
          <w:b w:val="0"/>
          <w:sz w:val="20"/>
          <w:szCs w:val="20"/>
          <w:u w:val="single"/>
        </w:rPr>
        <w:t>. Quartal 2021</w:t>
      </w:r>
    </w:p>
    <w:p w14:paraId="1E90473E" w14:textId="13DA6F6D" w:rsidR="00BF6A31" w:rsidRDefault="00BF6A31" w:rsidP="0012628E">
      <w:pPr>
        <w:pStyle w:val="Titel"/>
      </w:pPr>
      <w:bookmarkStart w:id="1" w:name="_Hlk70070912"/>
    </w:p>
    <w:p w14:paraId="3DF163DE" w14:textId="77777777" w:rsidR="00BF6A31" w:rsidRDefault="00BF6A31" w:rsidP="0012628E">
      <w:pPr>
        <w:pStyle w:val="Titel"/>
      </w:pPr>
    </w:p>
    <w:bookmarkEnd w:id="1"/>
    <w:p w14:paraId="3AD79500" w14:textId="77777777" w:rsidR="001624E7" w:rsidRDefault="001624E7" w:rsidP="001624E7">
      <w:pPr>
        <w:pStyle w:val="Titel"/>
      </w:pPr>
      <w:r>
        <w:t>Evonik legt im ersten Halbjahr kräftig zu und hebt den Ausblick für 2021 an</w:t>
      </w:r>
    </w:p>
    <w:p w14:paraId="60AF53A6" w14:textId="77777777" w:rsidR="00023CAA" w:rsidRPr="00461471" w:rsidRDefault="00023CAA" w:rsidP="00023CAA">
      <w:pPr>
        <w:pStyle w:val="Titel"/>
      </w:pPr>
    </w:p>
    <w:bookmarkEnd w:id="0"/>
    <w:p w14:paraId="112BC79F" w14:textId="77777777" w:rsidR="00A811A2" w:rsidRDefault="00A811A2" w:rsidP="00A811A2">
      <w:pPr>
        <w:numPr>
          <w:ilvl w:val="0"/>
          <w:numId w:val="32"/>
        </w:numPr>
        <w:tabs>
          <w:tab w:val="clear" w:pos="1425"/>
          <w:tab w:val="num" w:pos="340"/>
        </w:tabs>
        <w:ind w:left="340" w:right="85" w:hanging="340"/>
        <w:rPr>
          <w:rFonts w:cs="Lucida Sans Unicode"/>
          <w:sz w:val="24"/>
        </w:rPr>
      </w:pPr>
      <w:r>
        <w:rPr>
          <w:rFonts w:cs="Lucida Sans Unicode"/>
          <w:sz w:val="24"/>
        </w:rPr>
        <w:t xml:space="preserve">Umsatz </w:t>
      </w:r>
      <w:r w:rsidRPr="00297A0B">
        <w:rPr>
          <w:rFonts w:cs="Lucida Sans Unicode"/>
          <w:sz w:val="24"/>
        </w:rPr>
        <w:t>steigt</w:t>
      </w:r>
      <w:r>
        <w:rPr>
          <w:rFonts w:cs="Lucida Sans Unicode"/>
          <w:sz w:val="24"/>
        </w:rPr>
        <w:t xml:space="preserve"> im zweiten Quartal um 29 Prozent, bereinigtes EBITDA um 42 Prozent</w:t>
      </w:r>
    </w:p>
    <w:p w14:paraId="5795E69E" w14:textId="77777777" w:rsidR="00A811A2" w:rsidRPr="00A13FBB" w:rsidRDefault="00A811A2" w:rsidP="00A811A2">
      <w:pPr>
        <w:numPr>
          <w:ilvl w:val="0"/>
          <w:numId w:val="32"/>
        </w:numPr>
        <w:tabs>
          <w:tab w:val="clear" w:pos="1425"/>
          <w:tab w:val="num" w:pos="340"/>
        </w:tabs>
        <w:ind w:left="340" w:right="85" w:hanging="340"/>
        <w:rPr>
          <w:sz w:val="24"/>
        </w:rPr>
      </w:pPr>
      <w:r w:rsidRPr="00A13FBB">
        <w:rPr>
          <w:rFonts w:cs="Lucida Sans Unicode"/>
          <w:sz w:val="24"/>
        </w:rPr>
        <w:t xml:space="preserve">Alle drei Wachstums-Divisionen liefern Ergebnisse </w:t>
      </w:r>
    </w:p>
    <w:p w14:paraId="2CBD1CA8" w14:textId="77777777" w:rsidR="00A811A2" w:rsidRPr="00A13FBB" w:rsidRDefault="00A811A2" w:rsidP="00A811A2">
      <w:pPr>
        <w:ind w:left="340" w:right="85"/>
        <w:rPr>
          <w:sz w:val="24"/>
        </w:rPr>
      </w:pPr>
      <w:r>
        <w:rPr>
          <w:rFonts w:cs="Lucida Sans Unicode"/>
          <w:sz w:val="24"/>
        </w:rPr>
        <w:t>ü</w:t>
      </w:r>
      <w:r w:rsidRPr="00A13FBB">
        <w:rPr>
          <w:rFonts w:cs="Lucida Sans Unicode"/>
          <w:sz w:val="24"/>
        </w:rPr>
        <w:t>ber Vorkrisen-Niveau von 2</w:t>
      </w:r>
      <w:r>
        <w:rPr>
          <w:rFonts w:cs="Lucida Sans Unicode"/>
          <w:sz w:val="24"/>
        </w:rPr>
        <w:t>019</w:t>
      </w:r>
    </w:p>
    <w:p w14:paraId="6E012A07" w14:textId="77777777" w:rsidR="00A811A2" w:rsidRDefault="00A811A2" w:rsidP="00A811A2">
      <w:pPr>
        <w:numPr>
          <w:ilvl w:val="0"/>
          <w:numId w:val="32"/>
        </w:numPr>
        <w:tabs>
          <w:tab w:val="clear" w:pos="1425"/>
          <w:tab w:val="num" w:pos="340"/>
        </w:tabs>
        <w:ind w:left="340" w:right="85" w:hanging="340"/>
        <w:rPr>
          <w:rFonts w:cs="Lucida Sans Unicode"/>
          <w:sz w:val="24"/>
        </w:rPr>
      </w:pPr>
      <w:r>
        <w:rPr>
          <w:rFonts w:cs="Lucida Sans Unicode"/>
          <w:sz w:val="24"/>
        </w:rPr>
        <w:t>Jahresa</w:t>
      </w:r>
      <w:r w:rsidRPr="00887227">
        <w:rPr>
          <w:rFonts w:cs="Lucida Sans Unicode"/>
          <w:sz w:val="24"/>
        </w:rPr>
        <w:t>usblick</w:t>
      </w:r>
      <w:r>
        <w:rPr>
          <w:rFonts w:cs="Lucida Sans Unicode"/>
          <w:sz w:val="24"/>
        </w:rPr>
        <w:t xml:space="preserve"> für b</w:t>
      </w:r>
      <w:r w:rsidRPr="00887227">
        <w:rPr>
          <w:rFonts w:cs="Lucida Sans Unicode"/>
          <w:sz w:val="24"/>
        </w:rPr>
        <w:t xml:space="preserve">ereinigtes EBITDA </w:t>
      </w:r>
      <w:r>
        <w:rPr>
          <w:rFonts w:cs="Lucida Sans Unicode"/>
          <w:sz w:val="24"/>
        </w:rPr>
        <w:t xml:space="preserve">jetzt bei </w:t>
      </w:r>
    </w:p>
    <w:p w14:paraId="3DB635F2" w14:textId="77777777" w:rsidR="00A811A2" w:rsidRPr="00887227" w:rsidRDefault="00A811A2" w:rsidP="00A811A2">
      <w:pPr>
        <w:ind w:left="340" w:right="85"/>
        <w:rPr>
          <w:rFonts w:cs="Lucida Sans Unicode"/>
          <w:sz w:val="24"/>
        </w:rPr>
      </w:pPr>
      <w:r>
        <w:rPr>
          <w:rFonts w:cs="Lucida Sans Unicode"/>
          <w:sz w:val="24"/>
        </w:rPr>
        <w:t>2,3</w:t>
      </w:r>
      <w:r w:rsidRPr="00887227">
        <w:rPr>
          <w:rFonts w:cs="Lucida Sans Unicode"/>
          <w:sz w:val="24"/>
        </w:rPr>
        <w:t xml:space="preserve"> bis </w:t>
      </w:r>
      <w:r>
        <w:rPr>
          <w:rFonts w:cs="Lucida Sans Unicode"/>
          <w:sz w:val="24"/>
        </w:rPr>
        <w:t>2,4</w:t>
      </w:r>
      <w:r w:rsidRPr="00887227">
        <w:rPr>
          <w:rFonts w:cs="Lucida Sans Unicode"/>
          <w:sz w:val="24"/>
        </w:rPr>
        <w:t xml:space="preserve"> Milliarden €</w:t>
      </w:r>
    </w:p>
    <w:p w14:paraId="36BDC524" w14:textId="77777777" w:rsidR="00BF6A31" w:rsidRDefault="00BF6A31" w:rsidP="00081DEA">
      <w:pPr>
        <w:rPr>
          <w:b/>
          <w:bCs/>
        </w:rPr>
      </w:pPr>
    </w:p>
    <w:p w14:paraId="1312E269" w14:textId="77777777" w:rsidR="00904271" w:rsidRPr="00D20622" w:rsidRDefault="00904271" w:rsidP="00904271">
      <w:pPr>
        <w:rPr>
          <w:bCs/>
        </w:rPr>
      </w:pPr>
      <w:r w:rsidRPr="00720877">
        <w:rPr>
          <w:b/>
          <w:bCs/>
        </w:rPr>
        <w:t>Essen</w:t>
      </w:r>
      <w:r w:rsidRPr="00720877">
        <w:rPr>
          <w:bCs/>
        </w:rPr>
        <w:t>.</w:t>
      </w:r>
      <w:r>
        <w:rPr>
          <w:bCs/>
        </w:rPr>
        <w:t xml:space="preserve"> </w:t>
      </w:r>
      <w:r w:rsidRPr="009B79F2">
        <w:rPr>
          <w:bCs/>
        </w:rPr>
        <w:t xml:space="preserve">Evonik </w:t>
      </w:r>
      <w:r w:rsidRPr="003878C0">
        <w:rPr>
          <w:bCs/>
        </w:rPr>
        <w:t>hebt</w:t>
      </w:r>
      <w:r w:rsidRPr="008C07C6">
        <w:rPr>
          <w:bCs/>
        </w:rPr>
        <w:t xml:space="preserve"> nach einem </w:t>
      </w:r>
      <w:r>
        <w:rPr>
          <w:bCs/>
        </w:rPr>
        <w:t>starken ersten Halbjahr</w:t>
      </w:r>
      <w:r w:rsidRPr="008C07C6">
        <w:rPr>
          <w:bCs/>
        </w:rPr>
        <w:t xml:space="preserve"> </w:t>
      </w:r>
      <w:r>
        <w:rPr>
          <w:bCs/>
        </w:rPr>
        <w:t>den Ausblick für</w:t>
      </w:r>
      <w:r w:rsidRPr="008C07C6">
        <w:rPr>
          <w:bCs/>
        </w:rPr>
        <w:t xml:space="preserve"> das Gesamtjahr 2021</w:t>
      </w:r>
      <w:r>
        <w:rPr>
          <w:bCs/>
        </w:rPr>
        <w:t xml:space="preserve"> </w:t>
      </w:r>
      <w:r w:rsidRPr="009B79F2">
        <w:rPr>
          <w:bCs/>
        </w:rPr>
        <w:t>an</w:t>
      </w:r>
      <w:r>
        <w:rPr>
          <w:bCs/>
        </w:rPr>
        <w:t xml:space="preserve">. </w:t>
      </w:r>
      <w:r w:rsidRPr="008A5C22">
        <w:rPr>
          <w:bCs/>
        </w:rPr>
        <w:t xml:space="preserve">Die </w:t>
      </w:r>
      <w:r>
        <w:rPr>
          <w:bCs/>
        </w:rPr>
        <w:t xml:space="preserve">Nachfrage nach Evonik-Produkten ist </w:t>
      </w:r>
      <w:r w:rsidRPr="008A5C22">
        <w:rPr>
          <w:bCs/>
        </w:rPr>
        <w:t xml:space="preserve">weltweit </w:t>
      </w:r>
      <w:r>
        <w:rPr>
          <w:bCs/>
        </w:rPr>
        <w:t xml:space="preserve">deutlich angestiegen, die </w:t>
      </w:r>
      <w:r w:rsidRPr="008A5C22">
        <w:rPr>
          <w:bCs/>
        </w:rPr>
        <w:t>Verkaufspreise</w:t>
      </w:r>
      <w:r>
        <w:rPr>
          <w:bCs/>
        </w:rPr>
        <w:t xml:space="preserve"> </w:t>
      </w:r>
      <w:r w:rsidRPr="00297A0B">
        <w:rPr>
          <w:bCs/>
        </w:rPr>
        <w:t>legten</w:t>
      </w:r>
      <w:r>
        <w:rPr>
          <w:bCs/>
        </w:rPr>
        <w:t xml:space="preserve"> ebenfalls </w:t>
      </w:r>
      <w:r w:rsidRPr="00297A0B">
        <w:rPr>
          <w:bCs/>
        </w:rPr>
        <w:t>zu</w:t>
      </w:r>
      <w:r w:rsidRPr="008A5C22">
        <w:rPr>
          <w:bCs/>
        </w:rPr>
        <w:t xml:space="preserve">. </w:t>
      </w:r>
      <w:r>
        <w:rPr>
          <w:bCs/>
        </w:rPr>
        <w:t>„</w:t>
      </w:r>
      <w:r w:rsidRPr="00D20622">
        <w:rPr>
          <w:bCs/>
        </w:rPr>
        <w:t xml:space="preserve">Wir sind </w:t>
      </w:r>
      <w:r>
        <w:rPr>
          <w:bCs/>
        </w:rPr>
        <w:t>ge</w:t>
      </w:r>
      <w:r w:rsidRPr="00D20622">
        <w:rPr>
          <w:bCs/>
        </w:rPr>
        <w:t>stärk</w:t>
      </w:r>
      <w:r>
        <w:rPr>
          <w:bCs/>
        </w:rPr>
        <w:t>t</w:t>
      </w:r>
      <w:r w:rsidRPr="00D20622">
        <w:rPr>
          <w:bCs/>
        </w:rPr>
        <w:t xml:space="preserve"> aus der Krise he</w:t>
      </w:r>
      <w:r>
        <w:rPr>
          <w:bCs/>
        </w:rPr>
        <w:t>rvorgegang</w:t>
      </w:r>
      <w:r w:rsidRPr="00D20622">
        <w:rPr>
          <w:bCs/>
        </w:rPr>
        <w:t>en</w:t>
      </w:r>
      <w:r>
        <w:rPr>
          <w:bCs/>
        </w:rPr>
        <w:t xml:space="preserve"> und im ersten Halbjahr kräftig gewachsen“</w:t>
      </w:r>
      <w:r w:rsidRPr="00D20622">
        <w:rPr>
          <w:bCs/>
        </w:rPr>
        <w:t xml:space="preserve">, sagt </w:t>
      </w:r>
      <w:r>
        <w:rPr>
          <w:bCs/>
        </w:rPr>
        <w:t xml:space="preserve">Vorstandschef </w:t>
      </w:r>
      <w:r w:rsidRPr="00D20622">
        <w:rPr>
          <w:bCs/>
        </w:rPr>
        <w:t xml:space="preserve">Christian Kullmann. </w:t>
      </w:r>
      <w:r>
        <w:rPr>
          <w:bCs/>
        </w:rPr>
        <w:t xml:space="preserve">„Diese </w:t>
      </w:r>
      <w:r w:rsidRPr="008A5C22">
        <w:rPr>
          <w:bCs/>
        </w:rPr>
        <w:t xml:space="preserve">positive Dynamik </w:t>
      </w:r>
      <w:r>
        <w:rPr>
          <w:bCs/>
        </w:rPr>
        <w:t xml:space="preserve">wird sich auch im </w:t>
      </w:r>
      <w:r w:rsidRPr="008A5C22">
        <w:rPr>
          <w:bCs/>
        </w:rPr>
        <w:t>zweite</w:t>
      </w:r>
      <w:r>
        <w:rPr>
          <w:bCs/>
        </w:rPr>
        <w:t>n</w:t>
      </w:r>
      <w:r w:rsidRPr="008A5C22">
        <w:rPr>
          <w:bCs/>
        </w:rPr>
        <w:t xml:space="preserve"> Halbjahr</w:t>
      </w:r>
      <w:r>
        <w:rPr>
          <w:bCs/>
        </w:rPr>
        <w:t xml:space="preserve"> fortsetzen</w:t>
      </w:r>
      <w:r w:rsidRPr="008A5C22">
        <w:rPr>
          <w:bCs/>
        </w:rPr>
        <w:t>.</w:t>
      </w:r>
      <w:r>
        <w:rPr>
          <w:bCs/>
        </w:rPr>
        <w:t xml:space="preserve"> Diese Zuversicht unterstreichen wir mit der Anhebung unserer Prognose. </w:t>
      </w:r>
      <w:r w:rsidRPr="00D9429F">
        <w:rPr>
          <w:bCs/>
        </w:rPr>
        <w:t>Aus heutiger Sicht werden wir sogar im oberen Teil d</w:t>
      </w:r>
      <w:r>
        <w:rPr>
          <w:bCs/>
        </w:rPr>
        <w:t>er</w:t>
      </w:r>
      <w:r w:rsidRPr="00D9429F">
        <w:rPr>
          <w:bCs/>
        </w:rPr>
        <w:t xml:space="preserve"> </w:t>
      </w:r>
      <w:r>
        <w:rPr>
          <w:bCs/>
        </w:rPr>
        <w:t>Spanne</w:t>
      </w:r>
      <w:r w:rsidRPr="00D9429F">
        <w:rPr>
          <w:bCs/>
        </w:rPr>
        <w:t xml:space="preserve"> landen</w:t>
      </w:r>
      <w:r>
        <w:rPr>
          <w:bCs/>
        </w:rPr>
        <w:t>.</w:t>
      </w:r>
      <w:r w:rsidRPr="00467C30">
        <w:rPr>
          <w:bCs/>
        </w:rPr>
        <w:t xml:space="preserve"> </w:t>
      </w:r>
      <w:r>
        <w:rPr>
          <w:bCs/>
        </w:rPr>
        <w:t>Evonik brummt.“</w:t>
      </w:r>
    </w:p>
    <w:p w14:paraId="5684A3B2" w14:textId="77777777" w:rsidR="00904271" w:rsidRDefault="00904271" w:rsidP="00904271">
      <w:pPr>
        <w:rPr>
          <w:bCs/>
        </w:rPr>
      </w:pPr>
    </w:p>
    <w:p w14:paraId="3988BD6E" w14:textId="77777777" w:rsidR="00904271" w:rsidRPr="00CF78DF" w:rsidRDefault="00904271" w:rsidP="00904271">
      <w:pPr>
        <w:rPr>
          <w:bCs/>
        </w:rPr>
      </w:pPr>
      <w:r>
        <w:rPr>
          <w:bCs/>
        </w:rPr>
        <w:t xml:space="preserve">Evonik </w:t>
      </w:r>
      <w:r w:rsidRPr="00D20622">
        <w:rPr>
          <w:bCs/>
        </w:rPr>
        <w:t>erwartet nun</w:t>
      </w:r>
      <w:r>
        <w:rPr>
          <w:bCs/>
        </w:rPr>
        <w:t xml:space="preserve"> für 2021</w:t>
      </w:r>
      <w:r w:rsidRPr="00D20622">
        <w:rPr>
          <w:bCs/>
        </w:rPr>
        <w:t xml:space="preserve"> ein bereinigtes </w:t>
      </w:r>
      <w:r>
        <w:rPr>
          <w:bCs/>
        </w:rPr>
        <w:t>E</w:t>
      </w:r>
      <w:r w:rsidRPr="00D20622">
        <w:rPr>
          <w:bCs/>
        </w:rPr>
        <w:t xml:space="preserve">rgebnis vor Zinsen, Steuern und Abschreibungen </w:t>
      </w:r>
      <w:r>
        <w:rPr>
          <w:bCs/>
        </w:rPr>
        <w:t>(</w:t>
      </w:r>
      <w:r w:rsidRPr="00D20622">
        <w:rPr>
          <w:bCs/>
        </w:rPr>
        <w:t>bereinigtes EBITDA</w:t>
      </w:r>
      <w:r>
        <w:rPr>
          <w:bCs/>
        </w:rPr>
        <w:t>)</w:t>
      </w:r>
      <w:r w:rsidRPr="00D20622">
        <w:rPr>
          <w:bCs/>
        </w:rPr>
        <w:t xml:space="preserve"> zwischen </w:t>
      </w:r>
      <w:r>
        <w:rPr>
          <w:bCs/>
        </w:rPr>
        <w:t>2,3</w:t>
      </w:r>
      <w:r w:rsidRPr="00D20622">
        <w:rPr>
          <w:bCs/>
        </w:rPr>
        <w:t xml:space="preserve"> und </w:t>
      </w:r>
      <w:r>
        <w:rPr>
          <w:bCs/>
        </w:rPr>
        <w:t>2,4</w:t>
      </w:r>
      <w:r w:rsidRPr="00D20622">
        <w:rPr>
          <w:bCs/>
        </w:rPr>
        <w:t xml:space="preserve"> M</w:t>
      </w:r>
      <w:r>
        <w:rPr>
          <w:bCs/>
        </w:rPr>
        <w:t>illiarden</w:t>
      </w:r>
      <w:r w:rsidRPr="00D20622">
        <w:rPr>
          <w:bCs/>
        </w:rPr>
        <w:t xml:space="preserve"> €. Zuvor lag die Spanne bei 2,1 bis 2,3 Milliarden </w:t>
      </w:r>
      <w:r>
        <w:rPr>
          <w:bCs/>
        </w:rPr>
        <w:t>€</w:t>
      </w:r>
      <w:r w:rsidRPr="00D20622">
        <w:rPr>
          <w:bCs/>
        </w:rPr>
        <w:t>. Der Umsatz</w:t>
      </w:r>
      <w:r>
        <w:rPr>
          <w:bCs/>
        </w:rPr>
        <w:t xml:space="preserve"> wird jetzt auf 13 bis 14,5 Milliarden € prognostiziert. Bislang hatte Evonik mit </w:t>
      </w:r>
      <w:r w:rsidRPr="00D20622">
        <w:rPr>
          <w:bCs/>
        </w:rPr>
        <w:t xml:space="preserve">12 bis 14 Milliarden </w:t>
      </w:r>
      <w:r>
        <w:rPr>
          <w:bCs/>
        </w:rPr>
        <w:t xml:space="preserve">€ gerechnet. Im vergangenen Jahr lag das </w:t>
      </w:r>
      <w:r w:rsidRPr="00CF78DF">
        <w:rPr>
          <w:bCs/>
        </w:rPr>
        <w:t xml:space="preserve">bereinigte EBITDA </w:t>
      </w:r>
      <w:r>
        <w:rPr>
          <w:bCs/>
        </w:rPr>
        <w:t>bei</w:t>
      </w:r>
      <w:r w:rsidRPr="00CF78DF">
        <w:rPr>
          <w:bCs/>
        </w:rPr>
        <w:t xml:space="preserve"> 1,91 M</w:t>
      </w:r>
      <w:r>
        <w:rPr>
          <w:bCs/>
        </w:rPr>
        <w:t>illiarden</w:t>
      </w:r>
      <w:r w:rsidRPr="00CF78DF">
        <w:rPr>
          <w:bCs/>
        </w:rPr>
        <w:t xml:space="preserve"> € und </w:t>
      </w:r>
      <w:r>
        <w:rPr>
          <w:bCs/>
        </w:rPr>
        <w:t xml:space="preserve">der </w:t>
      </w:r>
      <w:r w:rsidRPr="00CF78DF">
        <w:rPr>
          <w:bCs/>
        </w:rPr>
        <w:t xml:space="preserve">Umsatz </w:t>
      </w:r>
      <w:r>
        <w:rPr>
          <w:bCs/>
        </w:rPr>
        <w:t>bei</w:t>
      </w:r>
      <w:r w:rsidRPr="00CF78DF">
        <w:rPr>
          <w:bCs/>
        </w:rPr>
        <w:t xml:space="preserve"> 12,2 </w:t>
      </w:r>
      <w:r>
        <w:rPr>
          <w:bCs/>
        </w:rPr>
        <w:t>Milliarden</w:t>
      </w:r>
      <w:r w:rsidRPr="00CF78DF">
        <w:rPr>
          <w:bCs/>
        </w:rPr>
        <w:t xml:space="preserve"> €.</w:t>
      </w:r>
    </w:p>
    <w:p w14:paraId="4DD7EFAA" w14:textId="77777777" w:rsidR="00904271" w:rsidRPr="00D20622" w:rsidRDefault="00904271" w:rsidP="00904271">
      <w:pPr>
        <w:rPr>
          <w:bCs/>
        </w:rPr>
      </w:pPr>
    </w:p>
    <w:p w14:paraId="70122A44" w14:textId="34E5C692" w:rsidR="00904271" w:rsidRDefault="00904271" w:rsidP="00904271">
      <w:pPr>
        <w:rPr>
          <w:bCs/>
        </w:rPr>
      </w:pPr>
      <w:r>
        <w:rPr>
          <w:bCs/>
        </w:rPr>
        <w:t>I</w:t>
      </w:r>
      <w:r w:rsidRPr="00D20622">
        <w:rPr>
          <w:bCs/>
        </w:rPr>
        <w:t xml:space="preserve">m zweiten Quartal </w:t>
      </w:r>
      <w:r w:rsidRPr="00297A0B">
        <w:rPr>
          <w:bCs/>
        </w:rPr>
        <w:t>stieg</w:t>
      </w:r>
      <w:r>
        <w:rPr>
          <w:bCs/>
        </w:rPr>
        <w:t xml:space="preserve"> d</w:t>
      </w:r>
      <w:r w:rsidRPr="00D20622">
        <w:rPr>
          <w:bCs/>
        </w:rPr>
        <w:t>as bereinigte EBITDA im Vergleich zum Vorjahr</w:t>
      </w:r>
      <w:r>
        <w:rPr>
          <w:bCs/>
        </w:rPr>
        <w:t>esquartal</w:t>
      </w:r>
      <w:r w:rsidRPr="00D20622">
        <w:rPr>
          <w:bCs/>
        </w:rPr>
        <w:t xml:space="preserve"> um </w:t>
      </w:r>
      <w:r>
        <w:rPr>
          <w:bCs/>
        </w:rPr>
        <w:t>42</w:t>
      </w:r>
      <w:r w:rsidRPr="00D20622">
        <w:rPr>
          <w:bCs/>
        </w:rPr>
        <w:t xml:space="preserve"> Prozent auf </w:t>
      </w:r>
      <w:r>
        <w:rPr>
          <w:bCs/>
        </w:rPr>
        <w:t>649</w:t>
      </w:r>
      <w:r w:rsidRPr="00D20622">
        <w:rPr>
          <w:bCs/>
        </w:rPr>
        <w:t xml:space="preserve"> Mi</w:t>
      </w:r>
      <w:r>
        <w:rPr>
          <w:bCs/>
        </w:rPr>
        <w:t>llionen</w:t>
      </w:r>
      <w:r w:rsidRPr="00D20622">
        <w:rPr>
          <w:bCs/>
        </w:rPr>
        <w:t xml:space="preserve"> </w:t>
      </w:r>
      <w:r>
        <w:rPr>
          <w:bCs/>
        </w:rPr>
        <w:t>€</w:t>
      </w:r>
      <w:r w:rsidRPr="00D20622">
        <w:rPr>
          <w:bCs/>
        </w:rPr>
        <w:t xml:space="preserve">. </w:t>
      </w:r>
      <w:r>
        <w:rPr>
          <w:bCs/>
        </w:rPr>
        <w:t>I</w:t>
      </w:r>
      <w:r w:rsidRPr="00F33D99">
        <w:rPr>
          <w:bCs/>
        </w:rPr>
        <w:t xml:space="preserve">m Vergleich zum </w:t>
      </w:r>
      <w:r>
        <w:rPr>
          <w:bCs/>
        </w:rPr>
        <w:t>Vorkrisenniveau - dem</w:t>
      </w:r>
      <w:r w:rsidRPr="00F33D99">
        <w:rPr>
          <w:bCs/>
        </w:rPr>
        <w:t xml:space="preserve"> zweite</w:t>
      </w:r>
      <w:r>
        <w:rPr>
          <w:bCs/>
        </w:rPr>
        <w:t>n</w:t>
      </w:r>
      <w:r w:rsidRPr="00F33D99">
        <w:rPr>
          <w:bCs/>
        </w:rPr>
        <w:t xml:space="preserve"> Quartal</w:t>
      </w:r>
      <w:r>
        <w:rPr>
          <w:bCs/>
        </w:rPr>
        <w:t xml:space="preserve"> 2019 - </w:t>
      </w:r>
      <w:r w:rsidRPr="00297A0B">
        <w:rPr>
          <w:bCs/>
        </w:rPr>
        <w:t>legte</w:t>
      </w:r>
      <w:r w:rsidRPr="00F33D99">
        <w:rPr>
          <w:bCs/>
        </w:rPr>
        <w:t xml:space="preserve"> das bereinigte EBITDA</w:t>
      </w:r>
      <w:r>
        <w:rPr>
          <w:bCs/>
        </w:rPr>
        <w:t xml:space="preserve"> um </w:t>
      </w:r>
      <w:r w:rsidRPr="00F33D99">
        <w:rPr>
          <w:bCs/>
        </w:rPr>
        <w:t xml:space="preserve">15 Prozent </w:t>
      </w:r>
      <w:r w:rsidRPr="00297A0B">
        <w:rPr>
          <w:bCs/>
        </w:rPr>
        <w:t>zu</w:t>
      </w:r>
      <w:r w:rsidRPr="00F33D99">
        <w:rPr>
          <w:bCs/>
        </w:rPr>
        <w:t xml:space="preserve">. </w:t>
      </w:r>
      <w:r>
        <w:rPr>
          <w:bCs/>
        </w:rPr>
        <w:t xml:space="preserve">Haupttreiber hierbei waren alle </w:t>
      </w:r>
      <w:r w:rsidRPr="00F33D99">
        <w:rPr>
          <w:bCs/>
        </w:rPr>
        <w:t>drei Wachstums</w:t>
      </w:r>
      <w:r>
        <w:rPr>
          <w:bCs/>
        </w:rPr>
        <w:t xml:space="preserve">divisionen </w:t>
      </w:r>
      <w:r w:rsidRPr="00F33D99">
        <w:rPr>
          <w:bCs/>
        </w:rPr>
        <w:t>Specialty Additives, Nutrition &amp; Care und Smart Materials</w:t>
      </w:r>
      <w:r>
        <w:rPr>
          <w:bCs/>
        </w:rPr>
        <w:t>, die trotz gestiegener Rohstoffkosten ihre Resilienz zeigen konnten</w:t>
      </w:r>
      <w:r w:rsidRPr="00F33D99">
        <w:rPr>
          <w:bCs/>
        </w:rPr>
        <w:t>.</w:t>
      </w:r>
    </w:p>
    <w:p w14:paraId="03EC66EC" w14:textId="2294A86C" w:rsidR="00904271" w:rsidRPr="00D20622" w:rsidRDefault="00904271" w:rsidP="00904271">
      <w:pPr>
        <w:rPr>
          <w:bCs/>
        </w:rPr>
      </w:pPr>
    </w:p>
    <w:p w14:paraId="1F3514B9" w14:textId="77777777" w:rsidR="00904271" w:rsidRPr="00D20622" w:rsidRDefault="00904271" w:rsidP="00904271">
      <w:pPr>
        <w:rPr>
          <w:bCs/>
        </w:rPr>
      </w:pPr>
      <w:r w:rsidRPr="00D20622">
        <w:rPr>
          <w:bCs/>
        </w:rPr>
        <w:lastRenderedPageBreak/>
        <w:t xml:space="preserve">Der </w:t>
      </w:r>
      <w:r>
        <w:rPr>
          <w:bCs/>
        </w:rPr>
        <w:t>Konzernum</w:t>
      </w:r>
      <w:r w:rsidRPr="00D20622">
        <w:rPr>
          <w:bCs/>
        </w:rPr>
        <w:t xml:space="preserve">satz </w:t>
      </w:r>
      <w:r w:rsidRPr="00297A0B">
        <w:rPr>
          <w:bCs/>
        </w:rPr>
        <w:t>stieg</w:t>
      </w:r>
      <w:r w:rsidRPr="00D20622">
        <w:rPr>
          <w:bCs/>
        </w:rPr>
        <w:t xml:space="preserve"> im </w:t>
      </w:r>
      <w:r>
        <w:rPr>
          <w:bCs/>
        </w:rPr>
        <w:t xml:space="preserve">zweiten </w:t>
      </w:r>
      <w:r w:rsidRPr="00D20622">
        <w:rPr>
          <w:bCs/>
        </w:rPr>
        <w:t xml:space="preserve">Quartal </w:t>
      </w:r>
      <w:r>
        <w:rPr>
          <w:bCs/>
        </w:rPr>
        <w:t xml:space="preserve">im Vergleich zu 2020 </w:t>
      </w:r>
      <w:r w:rsidRPr="00D20622">
        <w:rPr>
          <w:bCs/>
        </w:rPr>
        <w:t xml:space="preserve">um </w:t>
      </w:r>
      <w:r>
        <w:rPr>
          <w:bCs/>
        </w:rPr>
        <w:t>29</w:t>
      </w:r>
      <w:r w:rsidRPr="00D20622">
        <w:rPr>
          <w:bCs/>
        </w:rPr>
        <w:t xml:space="preserve"> Prozent auf </w:t>
      </w:r>
      <w:r>
        <w:rPr>
          <w:bCs/>
        </w:rPr>
        <w:t>3,64</w:t>
      </w:r>
      <w:r w:rsidRPr="00D20622">
        <w:rPr>
          <w:bCs/>
        </w:rPr>
        <w:t xml:space="preserve"> Milliarden </w:t>
      </w:r>
      <w:r>
        <w:rPr>
          <w:bCs/>
        </w:rPr>
        <w:t>€</w:t>
      </w:r>
      <w:r w:rsidRPr="00D20622">
        <w:rPr>
          <w:bCs/>
        </w:rPr>
        <w:t xml:space="preserve">. </w:t>
      </w:r>
      <w:r w:rsidRPr="00CF78DF">
        <w:rPr>
          <w:bCs/>
        </w:rPr>
        <w:t>D</w:t>
      </w:r>
      <w:r>
        <w:rPr>
          <w:bCs/>
        </w:rPr>
        <w:t>as</w:t>
      </w:r>
      <w:r w:rsidRPr="00CF78DF">
        <w:rPr>
          <w:bCs/>
        </w:rPr>
        <w:t xml:space="preserve"> bereinigte</w:t>
      </w:r>
      <w:r>
        <w:rPr>
          <w:bCs/>
        </w:rPr>
        <w:t xml:space="preserve"> </w:t>
      </w:r>
      <w:r w:rsidRPr="00CF78DF">
        <w:rPr>
          <w:bCs/>
        </w:rPr>
        <w:t>Konzern</w:t>
      </w:r>
      <w:r>
        <w:rPr>
          <w:bCs/>
        </w:rPr>
        <w:t>ergebnis</w:t>
      </w:r>
      <w:r w:rsidRPr="00CF78DF">
        <w:rPr>
          <w:bCs/>
        </w:rPr>
        <w:t xml:space="preserve"> </w:t>
      </w:r>
      <w:r w:rsidRPr="00D20622">
        <w:rPr>
          <w:bCs/>
        </w:rPr>
        <w:t xml:space="preserve">erhöhte sich um </w:t>
      </w:r>
      <w:r>
        <w:rPr>
          <w:bCs/>
        </w:rPr>
        <w:t>58</w:t>
      </w:r>
      <w:r w:rsidRPr="00D20622">
        <w:rPr>
          <w:bCs/>
        </w:rPr>
        <w:t xml:space="preserve"> Prozent auf </w:t>
      </w:r>
      <w:r>
        <w:rPr>
          <w:bCs/>
        </w:rPr>
        <w:t>253</w:t>
      </w:r>
      <w:r w:rsidRPr="00D20622">
        <w:rPr>
          <w:bCs/>
        </w:rPr>
        <w:t xml:space="preserve"> Mi</w:t>
      </w:r>
      <w:r>
        <w:rPr>
          <w:bCs/>
        </w:rPr>
        <w:t xml:space="preserve">llionen </w:t>
      </w:r>
      <w:r w:rsidRPr="00D20622">
        <w:rPr>
          <w:bCs/>
        </w:rPr>
        <w:t>€</w:t>
      </w:r>
      <w:r>
        <w:rPr>
          <w:bCs/>
        </w:rPr>
        <w:t xml:space="preserve">, </w:t>
      </w:r>
      <w:r w:rsidRPr="00F33D99">
        <w:rPr>
          <w:bCs/>
        </w:rPr>
        <w:t xml:space="preserve">das bereinigte Ergebnis je Aktie </w:t>
      </w:r>
      <w:r>
        <w:rPr>
          <w:bCs/>
        </w:rPr>
        <w:t>verbesserte sich</w:t>
      </w:r>
      <w:r w:rsidRPr="00F33D99">
        <w:rPr>
          <w:bCs/>
        </w:rPr>
        <w:t xml:space="preserve"> von 0,34 </w:t>
      </w:r>
      <w:r>
        <w:rPr>
          <w:bCs/>
        </w:rPr>
        <w:t>€ a</w:t>
      </w:r>
      <w:r w:rsidRPr="00F33D99">
        <w:rPr>
          <w:bCs/>
        </w:rPr>
        <w:t xml:space="preserve">uf 0,54 </w:t>
      </w:r>
      <w:r>
        <w:rPr>
          <w:bCs/>
        </w:rPr>
        <w:t>€.</w:t>
      </w:r>
    </w:p>
    <w:p w14:paraId="5268BE65" w14:textId="77777777" w:rsidR="00904271" w:rsidRDefault="00904271" w:rsidP="00904271">
      <w:pPr>
        <w:rPr>
          <w:bCs/>
        </w:rPr>
      </w:pPr>
    </w:p>
    <w:p w14:paraId="175D0395" w14:textId="77777777" w:rsidR="00904271" w:rsidRDefault="00904271" w:rsidP="00904271">
      <w:pPr>
        <w:rPr>
          <w:bCs/>
        </w:rPr>
      </w:pPr>
      <w:r>
        <w:rPr>
          <w:bCs/>
        </w:rPr>
        <w:t>Infolge der besseren Geschäftsentwicklung stieg d</w:t>
      </w:r>
      <w:r w:rsidRPr="00D20622">
        <w:rPr>
          <w:bCs/>
        </w:rPr>
        <w:t xml:space="preserve">er Free Cashflow im </w:t>
      </w:r>
      <w:r>
        <w:rPr>
          <w:bCs/>
        </w:rPr>
        <w:t xml:space="preserve">Vergleich zum </w:t>
      </w:r>
      <w:r w:rsidRPr="00D20622">
        <w:rPr>
          <w:bCs/>
        </w:rPr>
        <w:t>Vorjahresquartal</w:t>
      </w:r>
      <w:r>
        <w:rPr>
          <w:bCs/>
        </w:rPr>
        <w:t xml:space="preserve"> </w:t>
      </w:r>
      <w:r w:rsidRPr="00D20622">
        <w:rPr>
          <w:bCs/>
        </w:rPr>
        <w:t xml:space="preserve">auf </w:t>
      </w:r>
      <w:r>
        <w:rPr>
          <w:bCs/>
        </w:rPr>
        <w:t>101</w:t>
      </w:r>
      <w:r w:rsidRPr="00D20622">
        <w:rPr>
          <w:bCs/>
        </w:rPr>
        <w:t xml:space="preserve"> Mi</w:t>
      </w:r>
      <w:r>
        <w:rPr>
          <w:bCs/>
        </w:rPr>
        <w:t xml:space="preserve">llionen </w:t>
      </w:r>
      <w:r w:rsidRPr="00D20622">
        <w:rPr>
          <w:bCs/>
        </w:rPr>
        <w:t>€</w:t>
      </w:r>
      <w:r w:rsidRPr="00297A0B">
        <w:rPr>
          <w:bCs/>
        </w:rPr>
        <w:t>,</w:t>
      </w:r>
      <w:r>
        <w:rPr>
          <w:bCs/>
        </w:rPr>
        <w:t xml:space="preserve"> trotz der erwarteten Erhöhung des </w:t>
      </w:r>
      <w:r>
        <w:t>Nettoumlaufvermögens und gestiegener Steuerzahlungen</w:t>
      </w:r>
      <w:r w:rsidRPr="00D20622">
        <w:rPr>
          <w:bCs/>
        </w:rPr>
        <w:t xml:space="preserve">. </w:t>
      </w:r>
      <w:r>
        <w:rPr>
          <w:bCs/>
        </w:rPr>
        <w:t>Somit erreichte der Free Cashflow im ersten Halbjahr einen Rekordwert von 413 Millionen €. „</w:t>
      </w:r>
      <w:r>
        <w:t>Der hervorragende Cashflow des ersten Halbjahres ist die Basis dafür, auch in diesem Jahr eine Cash-</w:t>
      </w:r>
      <w:proofErr w:type="spellStart"/>
      <w:r>
        <w:t>Conversion</w:t>
      </w:r>
      <w:proofErr w:type="spellEnd"/>
      <w:r>
        <w:t>-Rate von 40 Prozent erreichen zu können</w:t>
      </w:r>
      <w:r>
        <w:rPr>
          <w:bCs/>
        </w:rPr>
        <w:t>“</w:t>
      </w:r>
      <w:r w:rsidRPr="00D20622">
        <w:rPr>
          <w:bCs/>
        </w:rPr>
        <w:t xml:space="preserve">, sagt </w:t>
      </w:r>
      <w:r>
        <w:t xml:space="preserve">Finanzvorstand </w:t>
      </w:r>
      <w:r w:rsidRPr="00D20622">
        <w:rPr>
          <w:bCs/>
        </w:rPr>
        <w:t xml:space="preserve">Ute Wolf. </w:t>
      </w:r>
    </w:p>
    <w:p w14:paraId="2B1463C2" w14:textId="77777777" w:rsidR="00BF6A31" w:rsidRDefault="00BF6A31" w:rsidP="00904271">
      <w:pPr>
        <w:spacing w:line="240" w:lineRule="auto"/>
        <w:rPr>
          <w:bCs/>
        </w:rPr>
      </w:pPr>
    </w:p>
    <w:p w14:paraId="6C0BBC1F" w14:textId="77777777" w:rsidR="00904271" w:rsidRPr="007C3633" w:rsidRDefault="00904271" w:rsidP="00904271">
      <w:pPr>
        <w:spacing w:line="240" w:lineRule="auto"/>
        <w:rPr>
          <w:color w:val="000000" w:themeColor="text1"/>
        </w:rPr>
      </w:pPr>
      <w:r w:rsidRPr="003B56D8">
        <w:rPr>
          <w:b/>
          <w:bCs/>
        </w:rPr>
        <w:t>Entwicklung der Divisionen</w:t>
      </w:r>
    </w:p>
    <w:p w14:paraId="193CEB19" w14:textId="77777777" w:rsidR="00904271" w:rsidRPr="003B56D8" w:rsidRDefault="00904271" w:rsidP="00904271">
      <w:pPr>
        <w:rPr>
          <w:b/>
          <w:bCs/>
        </w:rPr>
      </w:pPr>
    </w:p>
    <w:p w14:paraId="5113DF0B" w14:textId="77777777" w:rsidR="00904271" w:rsidRPr="00605CC7" w:rsidRDefault="00904271" w:rsidP="00904271">
      <w:pPr>
        <w:pStyle w:val="SNEvonikStandard"/>
        <w:spacing w:line="300" w:lineRule="exact"/>
        <w:ind w:firstLine="0"/>
        <w:jc w:val="left"/>
        <w:rPr>
          <w:rFonts w:ascii="Lucida Sans Unicode" w:hAnsi="Lucida Sans Unicode"/>
          <w:sz w:val="22"/>
          <w:szCs w:val="24"/>
          <w:lang w:eastAsia="de-DE"/>
        </w:rPr>
      </w:pPr>
      <w:r w:rsidRPr="00605CC7">
        <w:rPr>
          <w:rFonts w:ascii="Lucida Sans Unicode" w:hAnsi="Lucida Sans Unicode"/>
          <w:b/>
          <w:bCs/>
          <w:sz w:val="22"/>
          <w:szCs w:val="24"/>
          <w:lang w:eastAsia="de-DE"/>
        </w:rPr>
        <w:t>Specialty Additives</w:t>
      </w:r>
      <w:r w:rsidRPr="00605CC7">
        <w:rPr>
          <w:rFonts w:ascii="Lucida Sans Unicode" w:hAnsi="Lucida Sans Unicode"/>
          <w:sz w:val="22"/>
          <w:szCs w:val="24"/>
          <w:lang w:eastAsia="de-DE"/>
        </w:rPr>
        <w:t xml:space="preserve">: Der Umsatz der Division </w:t>
      </w:r>
      <w:r>
        <w:rPr>
          <w:rFonts w:ascii="Lucida Sans Unicode" w:hAnsi="Lucida Sans Unicode"/>
          <w:sz w:val="22"/>
          <w:szCs w:val="24"/>
          <w:lang w:eastAsia="de-DE"/>
        </w:rPr>
        <w:t>verbesserte sich</w:t>
      </w:r>
      <w:r w:rsidRPr="00605CC7">
        <w:rPr>
          <w:rFonts w:ascii="Lucida Sans Unicode" w:hAnsi="Lucida Sans Unicode"/>
          <w:sz w:val="22"/>
          <w:szCs w:val="24"/>
          <w:lang w:eastAsia="de-DE"/>
        </w:rPr>
        <w:t xml:space="preserve"> </w:t>
      </w:r>
      <w:r>
        <w:rPr>
          <w:rFonts w:ascii="Lucida Sans Unicode" w:hAnsi="Lucida Sans Unicode"/>
          <w:sz w:val="22"/>
          <w:szCs w:val="24"/>
          <w:lang w:eastAsia="de-DE"/>
        </w:rPr>
        <w:t>im zweiten Quartal</w:t>
      </w:r>
      <w:r w:rsidRPr="00605CC7">
        <w:rPr>
          <w:rFonts w:ascii="Lucida Sans Unicode" w:hAnsi="Lucida Sans Unicode"/>
          <w:sz w:val="22"/>
          <w:szCs w:val="24"/>
          <w:lang w:eastAsia="de-DE"/>
        </w:rPr>
        <w:t xml:space="preserve"> um </w:t>
      </w:r>
      <w:r>
        <w:rPr>
          <w:rFonts w:ascii="Lucida Sans Unicode" w:hAnsi="Lucida Sans Unicode"/>
          <w:sz w:val="22"/>
          <w:szCs w:val="24"/>
          <w:lang w:eastAsia="de-DE"/>
        </w:rPr>
        <w:t>23</w:t>
      </w:r>
      <w:r w:rsidRPr="00605CC7">
        <w:rPr>
          <w:rFonts w:ascii="Lucida Sans Unicode" w:hAnsi="Lucida Sans Unicode"/>
          <w:sz w:val="22"/>
          <w:szCs w:val="24"/>
          <w:lang w:eastAsia="de-DE"/>
        </w:rPr>
        <w:t xml:space="preserve"> Prozent auf </w:t>
      </w:r>
      <w:r>
        <w:rPr>
          <w:rFonts w:ascii="Lucida Sans Unicode" w:hAnsi="Lucida Sans Unicode"/>
          <w:sz w:val="22"/>
          <w:szCs w:val="24"/>
          <w:lang w:eastAsia="de-DE"/>
        </w:rPr>
        <w:t>922</w:t>
      </w:r>
      <w:r w:rsidRPr="00605CC7">
        <w:rPr>
          <w:rFonts w:ascii="Lucida Sans Unicode" w:hAnsi="Lucida Sans Unicode"/>
          <w:sz w:val="22"/>
          <w:szCs w:val="24"/>
          <w:lang w:eastAsia="de-DE"/>
        </w:rPr>
        <w:t> </w:t>
      </w:r>
      <w:r>
        <w:rPr>
          <w:rFonts w:ascii="Lucida Sans Unicode" w:hAnsi="Lucida Sans Unicode"/>
          <w:sz w:val="22"/>
          <w:szCs w:val="24"/>
          <w:lang w:eastAsia="de-DE"/>
        </w:rPr>
        <w:t>Millionen</w:t>
      </w:r>
      <w:r w:rsidRPr="00605CC7">
        <w:rPr>
          <w:rFonts w:ascii="Lucida Sans Unicode" w:hAnsi="Lucida Sans Unicode"/>
          <w:sz w:val="22"/>
          <w:szCs w:val="24"/>
          <w:lang w:eastAsia="de-DE"/>
        </w:rPr>
        <w:t> €.</w:t>
      </w:r>
      <w:bookmarkStart w:id="2" w:name="_Hlk54078883"/>
      <w:r>
        <w:rPr>
          <w:rFonts w:ascii="Lucida Sans Unicode" w:hAnsi="Lucida Sans Unicode"/>
          <w:sz w:val="22"/>
          <w:szCs w:val="24"/>
          <w:lang w:eastAsia="de-DE"/>
        </w:rPr>
        <w:t xml:space="preserve"> </w:t>
      </w:r>
      <w:r w:rsidRPr="0025487B">
        <w:rPr>
          <w:rFonts w:ascii="Lucida Sans Unicode" w:hAnsi="Lucida Sans Unicode"/>
          <w:sz w:val="22"/>
          <w:szCs w:val="24"/>
          <w:lang w:eastAsia="de-DE"/>
        </w:rPr>
        <w:t xml:space="preserve">Die Additive für Polyurethanschäume, beispielsweise für die Bauindustrie oder langlebige Wirtschaftsgüter wie Matratzen und Kühlschränke, verzeichneten eine deutlich höhere Nachfrage und erzielten einen starken Umsatzanstieg gegenüber dem </w:t>
      </w:r>
      <w:proofErr w:type="spellStart"/>
      <w:r w:rsidRPr="0025487B">
        <w:rPr>
          <w:rFonts w:ascii="Lucida Sans Unicode" w:hAnsi="Lucida Sans Unicode"/>
          <w:sz w:val="22"/>
          <w:szCs w:val="24"/>
          <w:lang w:eastAsia="de-DE"/>
        </w:rPr>
        <w:t>coronabedingt</w:t>
      </w:r>
      <w:proofErr w:type="spellEnd"/>
      <w:r w:rsidRPr="0025487B">
        <w:rPr>
          <w:rFonts w:ascii="Lucida Sans Unicode" w:hAnsi="Lucida Sans Unicode"/>
          <w:sz w:val="22"/>
          <w:szCs w:val="24"/>
          <w:lang w:eastAsia="de-DE"/>
        </w:rPr>
        <w:t xml:space="preserve"> schwächeren Vorjahresquartal. Additive für die Coatings</w:t>
      </w:r>
      <w:r>
        <w:rPr>
          <w:rFonts w:ascii="Lucida Sans Unicode" w:hAnsi="Lucida Sans Unicode"/>
          <w:sz w:val="22"/>
          <w:szCs w:val="24"/>
          <w:lang w:eastAsia="de-DE"/>
        </w:rPr>
        <w:t>-I</w:t>
      </w:r>
      <w:r w:rsidRPr="0025487B">
        <w:rPr>
          <w:rFonts w:ascii="Lucida Sans Unicode" w:hAnsi="Lucida Sans Unicode"/>
          <w:sz w:val="22"/>
          <w:szCs w:val="24"/>
          <w:lang w:eastAsia="de-DE"/>
        </w:rPr>
        <w:t xml:space="preserve">ndustrie verzeichneten in allen Regionen ebenfalls einen deutlichen Umsatzzuwachs. Auch die Produkte für erneuerbare Energien wurden weiterhin gut nachgefragt. </w:t>
      </w:r>
      <w:r>
        <w:rPr>
          <w:rFonts w:ascii="Lucida Sans Unicode" w:hAnsi="Lucida Sans Unicode"/>
          <w:sz w:val="22"/>
          <w:szCs w:val="24"/>
          <w:lang w:eastAsia="de-DE"/>
        </w:rPr>
        <w:t>Das</w:t>
      </w:r>
      <w:r w:rsidRPr="0025487B">
        <w:rPr>
          <w:rFonts w:ascii="Lucida Sans Unicode" w:hAnsi="Lucida Sans Unicode"/>
          <w:sz w:val="22"/>
          <w:szCs w:val="24"/>
          <w:lang w:eastAsia="de-DE"/>
        </w:rPr>
        <w:t xml:space="preserve"> Geschäft mit Additiven für die Automobilindustrie zog im Jahresvergleich wieder deutlich an.</w:t>
      </w:r>
      <w:r>
        <w:rPr>
          <w:rFonts w:ascii="Lucida Sans Unicode" w:hAnsi="Lucida Sans Unicode"/>
          <w:sz w:val="22"/>
          <w:szCs w:val="24"/>
          <w:lang w:eastAsia="de-DE"/>
        </w:rPr>
        <w:t xml:space="preserve"> </w:t>
      </w:r>
      <w:r w:rsidRPr="00605CC7">
        <w:rPr>
          <w:rFonts w:ascii="Lucida Sans Unicode" w:hAnsi="Lucida Sans Unicode"/>
          <w:sz w:val="22"/>
          <w:szCs w:val="24"/>
          <w:lang w:eastAsia="de-DE"/>
        </w:rPr>
        <w:t>Das bereinigte EBITDA</w:t>
      </w:r>
      <w:r>
        <w:rPr>
          <w:rFonts w:ascii="Lucida Sans Unicode" w:hAnsi="Lucida Sans Unicode"/>
          <w:sz w:val="22"/>
          <w:szCs w:val="24"/>
          <w:lang w:eastAsia="de-DE"/>
        </w:rPr>
        <w:t xml:space="preserve"> der Division </w:t>
      </w:r>
      <w:r w:rsidRPr="00D52D14">
        <w:rPr>
          <w:rFonts w:ascii="Lucida Sans Unicode" w:hAnsi="Lucida Sans Unicode"/>
          <w:sz w:val="22"/>
          <w:szCs w:val="24"/>
          <w:lang w:eastAsia="de-DE"/>
        </w:rPr>
        <w:t>erhöhte sich</w:t>
      </w:r>
      <w:r w:rsidRPr="00605CC7">
        <w:rPr>
          <w:rFonts w:ascii="Lucida Sans Unicode" w:hAnsi="Lucida Sans Unicode"/>
          <w:sz w:val="22"/>
          <w:szCs w:val="24"/>
          <w:lang w:eastAsia="de-DE"/>
        </w:rPr>
        <w:t xml:space="preserve"> um</w:t>
      </w:r>
      <w:r>
        <w:rPr>
          <w:rFonts w:ascii="Lucida Sans Unicode" w:hAnsi="Lucida Sans Unicode"/>
          <w:sz w:val="22"/>
          <w:szCs w:val="24"/>
          <w:lang w:eastAsia="de-DE"/>
        </w:rPr>
        <w:t xml:space="preserve"> 20</w:t>
      </w:r>
      <w:r w:rsidRPr="00605CC7">
        <w:rPr>
          <w:rFonts w:ascii="Lucida Sans Unicode" w:hAnsi="Lucida Sans Unicode"/>
          <w:sz w:val="22"/>
          <w:szCs w:val="24"/>
          <w:lang w:eastAsia="de-DE"/>
        </w:rPr>
        <w:t xml:space="preserve"> Prozent auf </w:t>
      </w:r>
      <w:r>
        <w:rPr>
          <w:rFonts w:ascii="Lucida Sans Unicode" w:hAnsi="Lucida Sans Unicode"/>
          <w:sz w:val="22"/>
          <w:szCs w:val="24"/>
          <w:lang w:eastAsia="de-DE"/>
        </w:rPr>
        <w:t>242</w:t>
      </w:r>
      <w:r w:rsidRPr="00605CC7">
        <w:rPr>
          <w:rFonts w:ascii="Lucida Sans Unicode" w:hAnsi="Lucida Sans Unicode"/>
          <w:sz w:val="22"/>
          <w:szCs w:val="24"/>
          <w:lang w:eastAsia="de-DE"/>
        </w:rPr>
        <w:t xml:space="preserve"> Millionen €.</w:t>
      </w:r>
    </w:p>
    <w:bookmarkEnd w:id="2"/>
    <w:p w14:paraId="02609559" w14:textId="77777777" w:rsidR="00904271" w:rsidRPr="003B56D8" w:rsidRDefault="00904271" w:rsidP="00904271"/>
    <w:p w14:paraId="4E4E1D78" w14:textId="77777777" w:rsidR="00904271" w:rsidRPr="007761B4" w:rsidRDefault="00904271" w:rsidP="00904271">
      <w:pPr>
        <w:pStyle w:val="SNEvonikStandard"/>
        <w:spacing w:line="300" w:lineRule="exact"/>
        <w:ind w:firstLine="0"/>
        <w:jc w:val="left"/>
        <w:rPr>
          <w:rFonts w:ascii="Lucida Sans Unicode" w:hAnsi="Lucida Sans Unicode"/>
          <w:sz w:val="22"/>
          <w:szCs w:val="24"/>
          <w:lang w:eastAsia="de-DE"/>
        </w:rPr>
      </w:pPr>
      <w:r w:rsidRPr="007761B4">
        <w:rPr>
          <w:rFonts w:ascii="Lucida Sans Unicode" w:hAnsi="Lucida Sans Unicode"/>
          <w:b/>
          <w:bCs/>
          <w:sz w:val="22"/>
          <w:szCs w:val="24"/>
          <w:lang w:eastAsia="de-DE"/>
        </w:rPr>
        <w:t>Nutrition &amp; Care</w:t>
      </w:r>
      <w:r w:rsidRPr="007761B4">
        <w:rPr>
          <w:rFonts w:ascii="Lucida Sans Unicode" w:hAnsi="Lucida Sans Unicode"/>
          <w:sz w:val="22"/>
          <w:szCs w:val="24"/>
          <w:lang w:eastAsia="de-DE"/>
        </w:rPr>
        <w:t>: Der Umsatz bei Nutrition &amp; Care l</w:t>
      </w:r>
      <w:r w:rsidRPr="00297A0B">
        <w:rPr>
          <w:rFonts w:ascii="Lucida Sans Unicode" w:hAnsi="Lucida Sans Unicode"/>
          <w:sz w:val="22"/>
          <w:szCs w:val="24"/>
          <w:lang w:eastAsia="de-DE"/>
        </w:rPr>
        <w:t>egte</w:t>
      </w:r>
      <w:r w:rsidRPr="007761B4">
        <w:rPr>
          <w:rFonts w:ascii="Lucida Sans Unicode" w:hAnsi="Lucida Sans Unicode"/>
          <w:sz w:val="22"/>
          <w:szCs w:val="24"/>
          <w:lang w:eastAsia="de-DE"/>
        </w:rPr>
        <w:t xml:space="preserve"> im zweiten Quartal um 13 Prozent auf 838 Millionen € </w:t>
      </w:r>
      <w:r w:rsidRPr="00297A0B">
        <w:rPr>
          <w:rFonts w:ascii="Lucida Sans Unicode" w:hAnsi="Lucida Sans Unicode"/>
          <w:sz w:val="22"/>
          <w:szCs w:val="24"/>
          <w:lang w:eastAsia="de-DE"/>
        </w:rPr>
        <w:t>zu</w:t>
      </w:r>
      <w:r w:rsidRPr="007761B4">
        <w:rPr>
          <w:rFonts w:ascii="Lucida Sans Unicode" w:hAnsi="Lucida Sans Unicode"/>
          <w:sz w:val="22"/>
          <w:szCs w:val="24"/>
          <w:lang w:eastAsia="de-DE"/>
        </w:rPr>
        <w:t xml:space="preserve">. Die essenziellen Aminosäuren konnten </w:t>
      </w:r>
      <w:r>
        <w:rPr>
          <w:rFonts w:ascii="Lucida Sans Unicode" w:hAnsi="Lucida Sans Unicode"/>
          <w:sz w:val="22"/>
          <w:szCs w:val="24"/>
          <w:lang w:eastAsia="de-DE"/>
        </w:rPr>
        <w:t xml:space="preserve">dank </w:t>
      </w:r>
      <w:r w:rsidRPr="007761B4">
        <w:rPr>
          <w:rFonts w:ascii="Lucida Sans Unicode" w:hAnsi="Lucida Sans Unicode"/>
          <w:sz w:val="22"/>
          <w:szCs w:val="24"/>
          <w:lang w:eastAsia="de-DE"/>
        </w:rPr>
        <w:t xml:space="preserve">guter Mengennachfrage und verbesserten Verkaufspreisen ihren Umsatz ausweiten. Die Produkte für den Gesundheits- und Pflegebereich profitierten von </w:t>
      </w:r>
      <w:r>
        <w:rPr>
          <w:rFonts w:ascii="Lucida Sans Unicode" w:hAnsi="Lucida Sans Unicode"/>
          <w:sz w:val="22"/>
          <w:szCs w:val="24"/>
          <w:lang w:eastAsia="de-DE"/>
        </w:rPr>
        <w:t xml:space="preserve">der </w:t>
      </w:r>
      <w:r w:rsidRPr="007761B4">
        <w:rPr>
          <w:rFonts w:ascii="Lucida Sans Unicode" w:hAnsi="Lucida Sans Unicode"/>
          <w:sz w:val="22"/>
          <w:szCs w:val="24"/>
          <w:lang w:eastAsia="de-DE"/>
        </w:rPr>
        <w:t>gute</w:t>
      </w:r>
      <w:r>
        <w:rPr>
          <w:rFonts w:ascii="Lucida Sans Unicode" w:hAnsi="Lucida Sans Unicode"/>
          <w:sz w:val="22"/>
          <w:szCs w:val="24"/>
          <w:lang w:eastAsia="de-DE"/>
        </w:rPr>
        <w:t>n</w:t>
      </w:r>
      <w:r w:rsidRPr="007761B4">
        <w:rPr>
          <w:rFonts w:ascii="Lucida Sans Unicode" w:hAnsi="Lucida Sans Unicode"/>
          <w:sz w:val="22"/>
          <w:szCs w:val="24"/>
          <w:lang w:eastAsia="de-DE"/>
        </w:rPr>
        <w:t xml:space="preserve"> Nachfrage und erzielten einen spürbar höheren Umsatz. </w:t>
      </w:r>
      <w:proofErr w:type="spellStart"/>
      <w:r w:rsidRPr="007761B4">
        <w:rPr>
          <w:rFonts w:ascii="Lucida Sans Unicode" w:hAnsi="Lucida Sans Unicode"/>
          <w:sz w:val="22"/>
          <w:szCs w:val="24"/>
          <w:lang w:eastAsia="de-DE"/>
        </w:rPr>
        <w:t>Active</w:t>
      </w:r>
      <w:proofErr w:type="spellEnd"/>
      <w:r w:rsidRPr="007761B4">
        <w:rPr>
          <w:rFonts w:ascii="Lucida Sans Unicode" w:hAnsi="Lucida Sans Unicode"/>
          <w:sz w:val="22"/>
          <w:szCs w:val="24"/>
          <w:lang w:eastAsia="de-DE"/>
        </w:rPr>
        <w:t xml:space="preserve"> </w:t>
      </w:r>
      <w:proofErr w:type="spellStart"/>
      <w:r w:rsidRPr="007761B4">
        <w:rPr>
          <w:rFonts w:ascii="Lucida Sans Unicode" w:hAnsi="Lucida Sans Unicode"/>
          <w:sz w:val="22"/>
          <w:szCs w:val="24"/>
          <w:lang w:eastAsia="de-DE"/>
        </w:rPr>
        <w:t>Ingredients</w:t>
      </w:r>
      <w:proofErr w:type="spellEnd"/>
      <w:r>
        <w:rPr>
          <w:rFonts w:ascii="Lucida Sans Unicode" w:hAnsi="Lucida Sans Unicode"/>
          <w:sz w:val="22"/>
          <w:szCs w:val="24"/>
          <w:lang w:eastAsia="de-DE"/>
        </w:rPr>
        <w:t>, i</w:t>
      </w:r>
      <w:r w:rsidRPr="007761B4">
        <w:rPr>
          <w:rFonts w:ascii="Lucida Sans Unicode" w:hAnsi="Lucida Sans Unicode"/>
          <w:sz w:val="22"/>
          <w:szCs w:val="24"/>
          <w:lang w:eastAsia="de-DE"/>
        </w:rPr>
        <w:t>nsbesondere die für kosmetische Anwendungen</w:t>
      </w:r>
      <w:r>
        <w:rPr>
          <w:rFonts w:ascii="Lucida Sans Unicode" w:hAnsi="Lucida Sans Unicode"/>
          <w:sz w:val="22"/>
          <w:szCs w:val="24"/>
          <w:lang w:eastAsia="de-DE"/>
        </w:rPr>
        <w:t>,</w:t>
      </w:r>
      <w:r w:rsidRPr="007761B4">
        <w:rPr>
          <w:rFonts w:ascii="Lucida Sans Unicode" w:hAnsi="Lucida Sans Unicode"/>
          <w:sz w:val="22"/>
          <w:szCs w:val="24"/>
          <w:lang w:eastAsia="de-DE"/>
        </w:rPr>
        <w:t xml:space="preserve"> profitierten von einer sehr guten Mengenentwicklung. Bei den Pharmaanwendungen verzeichneten </w:t>
      </w:r>
      <w:r>
        <w:rPr>
          <w:rFonts w:ascii="Lucida Sans Unicode" w:hAnsi="Lucida Sans Unicode"/>
          <w:sz w:val="22"/>
          <w:szCs w:val="24"/>
          <w:lang w:eastAsia="de-DE"/>
        </w:rPr>
        <w:t>vor allem</w:t>
      </w:r>
      <w:r w:rsidRPr="007761B4">
        <w:rPr>
          <w:rFonts w:ascii="Lucida Sans Unicode" w:hAnsi="Lucida Sans Unicode"/>
          <w:sz w:val="22"/>
          <w:szCs w:val="24"/>
          <w:lang w:eastAsia="de-DE"/>
        </w:rPr>
        <w:t xml:space="preserve"> die Lipide für die mRNA-Impfstoffe einen deutlichen </w:t>
      </w:r>
      <w:r w:rsidRPr="007761B4">
        <w:rPr>
          <w:rFonts w:ascii="Lucida Sans Unicode" w:hAnsi="Lucida Sans Unicode"/>
          <w:sz w:val="22"/>
          <w:szCs w:val="24"/>
          <w:lang w:eastAsia="de-DE"/>
        </w:rPr>
        <w:lastRenderedPageBreak/>
        <w:t>Umsatzanstieg.</w:t>
      </w:r>
      <w:r>
        <w:rPr>
          <w:rFonts w:ascii="Lucida Sans Unicode" w:hAnsi="Lucida Sans Unicode"/>
          <w:sz w:val="22"/>
          <w:szCs w:val="24"/>
          <w:lang w:eastAsia="de-DE"/>
        </w:rPr>
        <w:t xml:space="preserve"> </w:t>
      </w:r>
      <w:r w:rsidRPr="007761B4">
        <w:rPr>
          <w:rFonts w:ascii="Lucida Sans Unicode" w:hAnsi="Lucida Sans Unicode"/>
          <w:sz w:val="22"/>
          <w:szCs w:val="24"/>
          <w:lang w:eastAsia="de-DE"/>
        </w:rPr>
        <w:t xml:space="preserve">Das bereinigte EBITDA </w:t>
      </w:r>
      <w:r>
        <w:rPr>
          <w:rFonts w:ascii="Lucida Sans Unicode" w:hAnsi="Lucida Sans Unicode"/>
          <w:sz w:val="22"/>
          <w:szCs w:val="24"/>
          <w:lang w:eastAsia="de-DE"/>
        </w:rPr>
        <w:t>s</w:t>
      </w:r>
      <w:r w:rsidRPr="00297A0B">
        <w:rPr>
          <w:rFonts w:ascii="Lucida Sans Unicode" w:hAnsi="Lucida Sans Unicode"/>
          <w:sz w:val="22"/>
          <w:szCs w:val="24"/>
          <w:lang w:eastAsia="de-DE"/>
        </w:rPr>
        <w:t>tieg</w:t>
      </w:r>
      <w:r w:rsidRPr="007761B4">
        <w:rPr>
          <w:rFonts w:ascii="Lucida Sans Unicode" w:hAnsi="Lucida Sans Unicode"/>
          <w:sz w:val="22"/>
          <w:szCs w:val="24"/>
          <w:lang w:eastAsia="de-DE"/>
        </w:rPr>
        <w:t xml:space="preserve"> um </w:t>
      </w:r>
      <w:r>
        <w:rPr>
          <w:rFonts w:ascii="Lucida Sans Unicode" w:hAnsi="Lucida Sans Unicode"/>
          <w:sz w:val="22"/>
          <w:szCs w:val="24"/>
          <w:lang w:eastAsia="de-DE"/>
        </w:rPr>
        <w:t>9</w:t>
      </w:r>
      <w:r w:rsidRPr="007761B4">
        <w:rPr>
          <w:rFonts w:ascii="Lucida Sans Unicode" w:hAnsi="Lucida Sans Unicode"/>
          <w:sz w:val="22"/>
          <w:szCs w:val="24"/>
          <w:lang w:eastAsia="de-DE"/>
        </w:rPr>
        <w:t xml:space="preserve"> Prozent auf </w:t>
      </w:r>
      <w:r>
        <w:rPr>
          <w:rFonts w:ascii="Lucida Sans Unicode" w:hAnsi="Lucida Sans Unicode"/>
          <w:sz w:val="22"/>
          <w:szCs w:val="24"/>
          <w:lang w:eastAsia="de-DE"/>
        </w:rPr>
        <w:t>183</w:t>
      </w:r>
      <w:r w:rsidRPr="007761B4">
        <w:rPr>
          <w:rFonts w:ascii="Lucida Sans Unicode" w:hAnsi="Lucida Sans Unicode"/>
          <w:sz w:val="22"/>
          <w:szCs w:val="24"/>
          <w:lang w:eastAsia="de-DE"/>
        </w:rPr>
        <w:t> Millionen €.</w:t>
      </w:r>
    </w:p>
    <w:p w14:paraId="25CD6FE5" w14:textId="77777777" w:rsidR="00904271" w:rsidRPr="003B56D8" w:rsidRDefault="00904271" w:rsidP="00904271"/>
    <w:p w14:paraId="554A72DD" w14:textId="77777777" w:rsidR="00904271" w:rsidRPr="007761B4" w:rsidRDefault="00904271" w:rsidP="00904271">
      <w:pPr>
        <w:pStyle w:val="SNEvonikStandard"/>
        <w:spacing w:line="300" w:lineRule="exact"/>
        <w:ind w:firstLine="0"/>
        <w:jc w:val="left"/>
        <w:rPr>
          <w:rFonts w:ascii="Lucida Sans Unicode" w:hAnsi="Lucida Sans Unicode"/>
          <w:sz w:val="22"/>
          <w:szCs w:val="24"/>
          <w:lang w:eastAsia="de-DE"/>
        </w:rPr>
      </w:pPr>
      <w:r w:rsidRPr="007761B4">
        <w:rPr>
          <w:rFonts w:ascii="Lucida Sans Unicode" w:hAnsi="Lucida Sans Unicode"/>
          <w:b/>
          <w:bCs/>
          <w:sz w:val="22"/>
          <w:szCs w:val="24"/>
          <w:lang w:eastAsia="de-DE"/>
        </w:rPr>
        <w:t>Smart Materials</w:t>
      </w:r>
      <w:r w:rsidRPr="007761B4">
        <w:rPr>
          <w:rFonts w:ascii="Lucida Sans Unicode" w:hAnsi="Lucida Sans Unicode"/>
          <w:sz w:val="22"/>
          <w:szCs w:val="24"/>
          <w:lang w:eastAsia="de-DE"/>
        </w:rPr>
        <w:t xml:space="preserve">: Der Umsatz der Division verbesserte sich im zweiten Quartal um 35 Prozent auf 975 Millionen €. </w:t>
      </w:r>
      <w:bookmarkStart w:id="3" w:name="_Hlk54079140"/>
      <w:r>
        <w:rPr>
          <w:rFonts w:ascii="Lucida Sans Unicode" w:hAnsi="Lucida Sans Unicode"/>
          <w:sz w:val="22"/>
          <w:szCs w:val="24"/>
          <w:lang w:eastAsia="de-DE"/>
        </w:rPr>
        <w:t>D</w:t>
      </w:r>
      <w:r w:rsidRPr="007761B4">
        <w:rPr>
          <w:rFonts w:ascii="Lucida Sans Unicode" w:hAnsi="Lucida Sans Unicode"/>
          <w:sz w:val="22"/>
          <w:szCs w:val="24"/>
          <w:lang w:eastAsia="de-DE"/>
        </w:rPr>
        <w:t>ie Hochleistungskunsts</w:t>
      </w:r>
      <w:r>
        <w:rPr>
          <w:rFonts w:ascii="Lucida Sans Unicode" w:hAnsi="Lucida Sans Unicode"/>
          <w:sz w:val="22"/>
          <w:szCs w:val="24"/>
          <w:lang w:eastAsia="de-DE"/>
        </w:rPr>
        <w:t>toffe</w:t>
      </w:r>
      <w:r w:rsidRPr="007761B4">
        <w:rPr>
          <w:rFonts w:ascii="Lucida Sans Unicode" w:hAnsi="Lucida Sans Unicode"/>
          <w:sz w:val="22"/>
          <w:szCs w:val="24"/>
          <w:lang w:eastAsia="de-DE"/>
        </w:rPr>
        <w:t xml:space="preserve"> </w:t>
      </w:r>
      <w:r>
        <w:rPr>
          <w:rFonts w:ascii="Lucida Sans Unicode" w:hAnsi="Lucida Sans Unicode"/>
          <w:sz w:val="22"/>
          <w:szCs w:val="24"/>
          <w:lang w:eastAsia="de-DE"/>
        </w:rPr>
        <w:t>verzeichneten</w:t>
      </w:r>
      <w:r w:rsidRPr="007761B4">
        <w:rPr>
          <w:rFonts w:ascii="Lucida Sans Unicode" w:hAnsi="Lucida Sans Unicode"/>
          <w:sz w:val="22"/>
          <w:szCs w:val="24"/>
          <w:lang w:eastAsia="de-DE"/>
        </w:rPr>
        <w:t xml:space="preserve"> eine deutlich anziehende Nachfrage aus der Automobilindustrie. </w:t>
      </w:r>
      <w:r>
        <w:rPr>
          <w:rFonts w:ascii="Lucida Sans Unicode" w:hAnsi="Lucida Sans Unicode"/>
          <w:sz w:val="22"/>
          <w:szCs w:val="24"/>
          <w:lang w:eastAsia="de-DE"/>
        </w:rPr>
        <w:t>Das</w:t>
      </w:r>
      <w:r w:rsidRPr="007761B4">
        <w:rPr>
          <w:rFonts w:ascii="Lucida Sans Unicode" w:hAnsi="Lucida Sans Unicode"/>
          <w:sz w:val="22"/>
          <w:szCs w:val="24"/>
          <w:lang w:eastAsia="de-DE"/>
        </w:rPr>
        <w:t xml:space="preserve"> Polyamid 12-Pulver für den 3D-Druck sowie Membranen für eine effiziente Gasaufbereitung waren ebenfalls stark nachgefragt. </w:t>
      </w:r>
      <w:r>
        <w:rPr>
          <w:rFonts w:ascii="Lucida Sans Unicode" w:hAnsi="Lucida Sans Unicode"/>
          <w:sz w:val="22"/>
          <w:szCs w:val="24"/>
          <w:lang w:eastAsia="de-DE"/>
        </w:rPr>
        <w:t>Das</w:t>
      </w:r>
      <w:r w:rsidRPr="007761B4">
        <w:rPr>
          <w:rFonts w:ascii="Lucida Sans Unicode" w:hAnsi="Lucida Sans Unicode"/>
          <w:sz w:val="22"/>
          <w:szCs w:val="24"/>
          <w:lang w:eastAsia="de-DE"/>
        </w:rPr>
        <w:t xml:space="preserve"> Geschäft mit Reifen-Kieselsäuren profitierte von einer starken Nachfragebelebung gegenüber dem </w:t>
      </w:r>
      <w:proofErr w:type="spellStart"/>
      <w:r w:rsidRPr="007761B4">
        <w:rPr>
          <w:rFonts w:ascii="Lucida Sans Unicode" w:hAnsi="Lucida Sans Unicode"/>
          <w:sz w:val="22"/>
          <w:szCs w:val="24"/>
          <w:lang w:eastAsia="de-DE"/>
        </w:rPr>
        <w:t>coronabedingt</w:t>
      </w:r>
      <w:proofErr w:type="spellEnd"/>
      <w:r w:rsidRPr="007761B4">
        <w:rPr>
          <w:rFonts w:ascii="Lucida Sans Unicode" w:hAnsi="Lucida Sans Unicode"/>
          <w:sz w:val="22"/>
          <w:szCs w:val="24"/>
          <w:lang w:eastAsia="de-DE"/>
        </w:rPr>
        <w:t xml:space="preserve"> schwächeren Vorjahresquartal. Die Aktivsauerstoffprodukte verzeichneten eine gute Mengennachfrage sowohl im Spezialitätengeschäft als auch im klassischen Wasserstoffperoxid-Geschäft. </w:t>
      </w:r>
      <w:r>
        <w:rPr>
          <w:rFonts w:ascii="Lucida Sans Unicode" w:hAnsi="Lucida Sans Unicode"/>
          <w:sz w:val="22"/>
          <w:szCs w:val="24"/>
          <w:lang w:eastAsia="de-DE"/>
        </w:rPr>
        <w:t>Das</w:t>
      </w:r>
      <w:r w:rsidRPr="007761B4">
        <w:rPr>
          <w:rFonts w:ascii="Lucida Sans Unicode" w:hAnsi="Lucida Sans Unicode"/>
          <w:sz w:val="22"/>
          <w:szCs w:val="24"/>
          <w:lang w:eastAsia="de-DE"/>
        </w:rPr>
        <w:t xml:space="preserve"> </w:t>
      </w:r>
      <w:proofErr w:type="spellStart"/>
      <w:r w:rsidRPr="007761B4">
        <w:rPr>
          <w:rFonts w:ascii="Lucida Sans Unicode" w:hAnsi="Lucida Sans Unicode"/>
          <w:sz w:val="22"/>
          <w:szCs w:val="24"/>
          <w:lang w:eastAsia="de-DE"/>
        </w:rPr>
        <w:t>Katalysatorengeschäft</w:t>
      </w:r>
      <w:proofErr w:type="spellEnd"/>
      <w:r w:rsidRPr="007761B4">
        <w:rPr>
          <w:rFonts w:ascii="Lucida Sans Unicode" w:hAnsi="Lucida Sans Unicode"/>
          <w:sz w:val="22"/>
          <w:szCs w:val="24"/>
          <w:lang w:eastAsia="de-DE"/>
        </w:rPr>
        <w:t xml:space="preserve"> profitierte von der erstmaligen Einbeziehung der im November 2020 erworbenen </w:t>
      </w:r>
      <w:proofErr w:type="spellStart"/>
      <w:r w:rsidRPr="007761B4">
        <w:rPr>
          <w:rFonts w:ascii="Lucida Sans Unicode" w:hAnsi="Lucida Sans Unicode"/>
          <w:sz w:val="22"/>
          <w:szCs w:val="24"/>
          <w:lang w:eastAsia="de-DE"/>
        </w:rPr>
        <w:t>Porocel</w:t>
      </w:r>
      <w:proofErr w:type="spellEnd"/>
      <w:r w:rsidRPr="007761B4">
        <w:rPr>
          <w:rFonts w:ascii="Lucida Sans Unicode" w:hAnsi="Lucida Sans Unicode"/>
          <w:sz w:val="22"/>
          <w:szCs w:val="24"/>
          <w:lang w:eastAsia="de-DE"/>
        </w:rPr>
        <w:t xml:space="preserve">. </w:t>
      </w:r>
      <w:bookmarkEnd w:id="3"/>
      <w:r w:rsidRPr="007761B4">
        <w:rPr>
          <w:rFonts w:ascii="Lucida Sans Unicode" w:hAnsi="Lucida Sans Unicode"/>
          <w:sz w:val="22"/>
          <w:szCs w:val="24"/>
          <w:lang w:eastAsia="de-DE"/>
        </w:rPr>
        <w:t>Das bereinigte EBITDA</w:t>
      </w:r>
      <w:r>
        <w:rPr>
          <w:rFonts w:ascii="Lucida Sans Unicode" w:hAnsi="Lucida Sans Unicode"/>
          <w:sz w:val="22"/>
          <w:szCs w:val="24"/>
          <w:lang w:eastAsia="de-DE"/>
        </w:rPr>
        <w:t xml:space="preserve"> der Division</w:t>
      </w:r>
      <w:r w:rsidRPr="007761B4">
        <w:rPr>
          <w:rFonts w:ascii="Lucida Sans Unicode" w:hAnsi="Lucida Sans Unicode"/>
          <w:sz w:val="22"/>
          <w:szCs w:val="24"/>
          <w:lang w:eastAsia="de-DE"/>
        </w:rPr>
        <w:t xml:space="preserve"> s</w:t>
      </w:r>
      <w:r w:rsidRPr="00297A0B">
        <w:rPr>
          <w:rFonts w:ascii="Lucida Sans Unicode" w:hAnsi="Lucida Sans Unicode"/>
          <w:sz w:val="22"/>
          <w:szCs w:val="24"/>
          <w:lang w:eastAsia="de-DE"/>
        </w:rPr>
        <w:t>tieg</w:t>
      </w:r>
      <w:r w:rsidRPr="007761B4">
        <w:rPr>
          <w:rFonts w:ascii="Lucida Sans Unicode" w:hAnsi="Lucida Sans Unicode"/>
          <w:sz w:val="22"/>
          <w:szCs w:val="24"/>
          <w:lang w:eastAsia="de-DE"/>
        </w:rPr>
        <w:t xml:space="preserve"> um </w:t>
      </w:r>
      <w:r>
        <w:rPr>
          <w:rFonts w:ascii="Lucida Sans Unicode" w:hAnsi="Lucida Sans Unicode"/>
          <w:sz w:val="22"/>
          <w:szCs w:val="24"/>
          <w:lang w:eastAsia="de-DE"/>
        </w:rPr>
        <w:t>73</w:t>
      </w:r>
      <w:r w:rsidRPr="007761B4">
        <w:rPr>
          <w:rFonts w:ascii="Lucida Sans Unicode" w:hAnsi="Lucida Sans Unicode"/>
          <w:sz w:val="22"/>
          <w:szCs w:val="24"/>
          <w:lang w:eastAsia="de-DE"/>
        </w:rPr>
        <w:t xml:space="preserve"> Prozent auf </w:t>
      </w:r>
      <w:r>
        <w:rPr>
          <w:rFonts w:ascii="Lucida Sans Unicode" w:hAnsi="Lucida Sans Unicode"/>
          <w:sz w:val="22"/>
          <w:szCs w:val="24"/>
          <w:lang w:eastAsia="de-DE"/>
        </w:rPr>
        <w:t>176</w:t>
      </w:r>
      <w:r w:rsidRPr="007761B4">
        <w:rPr>
          <w:rFonts w:ascii="Lucida Sans Unicode" w:hAnsi="Lucida Sans Unicode"/>
          <w:sz w:val="22"/>
          <w:szCs w:val="24"/>
          <w:lang w:eastAsia="de-DE"/>
        </w:rPr>
        <w:t> Millionen €.</w:t>
      </w:r>
    </w:p>
    <w:p w14:paraId="24257DDA" w14:textId="77777777" w:rsidR="00904271" w:rsidRDefault="00904271" w:rsidP="00904271">
      <w:pPr>
        <w:rPr>
          <w:b/>
          <w:bCs/>
        </w:rPr>
      </w:pPr>
    </w:p>
    <w:p w14:paraId="4D59C772" w14:textId="77777777" w:rsidR="00904271" w:rsidRDefault="00904271" w:rsidP="00904271">
      <w:r w:rsidRPr="003B56D8">
        <w:rPr>
          <w:b/>
          <w:bCs/>
        </w:rPr>
        <w:t>Performance Materials:</w:t>
      </w:r>
      <w:r w:rsidRPr="003B56D8">
        <w:t xml:space="preserve"> </w:t>
      </w:r>
      <w:r>
        <w:t>D</w:t>
      </w:r>
      <w:r w:rsidRPr="00BF07D4">
        <w:t xml:space="preserve">er </w:t>
      </w:r>
      <w:r w:rsidRPr="002405D8">
        <w:t xml:space="preserve">Umsatz der Division </w:t>
      </w:r>
      <w:r>
        <w:t>erhöhte sich</w:t>
      </w:r>
      <w:r w:rsidRPr="002405D8">
        <w:t xml:space="preserve"> </w:t>
      </w:r>
      <w:r>
        <w:t xml:space="preserve">im zweiten Quartal </w:t>
      </w:r>
      <w:r w:rsidRPr="00BF07D4">
        <w:t xml:space="preserve">um </w:t>
      </w:r>
      <w:r>
        <w:t>62</w:t>
      </w:r>
      <w:r w:rsidRPr="00BF07D4">
        <w:t xml:space="preserve"> Prozent auf </w:t>
      </w:r>
      <w:r>
        <w:t>708 Millionen</w:t>
      </w:r>
      <w:r w:rsidRPr="00BF07D4">
        <w:t> €.</w:t>
      </w:r>
      <w:r>
        <w:t xml:space="preserve"> </w:t>
      </w:r>
      <w:r w:rsidRPr="007761B4">
        <w:t>Der Umsatz mit Produkten des C4-Verbunds stieg bei anziehender Nachfrage und stark verbesserten Verkaufspreisen erheblich an. Das Geschäft mit Superabsorbern ist weiterhin von einem schwierigen Marktumfeld betroffen.</w:t>
      </w:r>
      <w:r>
        <w:t xml:space="preserve"> Das bereinigte EBITDA der Division verbesserte sich von 12 Millionen auf </w:t>
      </w:r>
      <w:r>
        <w:rPr>
          <w:bCs/>
        </w:rPr>
        <w:t>99</w:t>
      </w:r>
      <w:r w:rsidRPr="009C31E2">
        <w:rPr>
          <w:bCs/>
        </w:rPr>
        <w:t> Millionen €</w:t>
      </w:r>
      <w:r>
        <w:t xml:space="preserve">. </w:t>
      </w:r>
    </w:p>
    <w:p w14:paraId="13BBAA79" w14:textId="641FA56B" w:rsidR="00E9581C" w:rsidRDefault="00E9581C" w:rsidP="00E9581C"/>
    <w:p w14:paraId="2D19D71F" w14:textId="794A0453" w:rsidR="00E9166C" w:rsidRDefault="00E9166C" w:rsidP="00E9581C"/>
    <w:tbl>
      <w:tblPr>
        <w:tblW w:w="9752" w:type="dxa"/>
        <w:tblLayout w:type="fixed"/>
        <w:tblCellMar>
          <w:left w:w="0" w:type="dxa"/>
          <w:right w:w="0" w:type="dxa"/>
        </w:tblCellMar>
        <w:tblLook w:val="04A0" w:firstRow="1" w:lastRow="0" w:firstColumn="1" w:lastColumn="0" w:noHBand="0" w:noVBand="1"/>
        <w:tblCaption w:val="Pressemitteilung - Tabellen de!outarea_q1"/>
        <w:tblDescription w:val="SNEID_85d09f71088748289033ed0b48913429"/>
      </w:tblPr>
      <w:tblGrid>
        <w:gridCol w:w="6332"/>
        <w:gridCol w:w="119"/>
        <w:gridCol w:w="1021"/>
        <w:gridCol w:w="119"/>
        <w:gridCol w:w="1021"/>
        <w:gridCol w:w="119"/>
        <w:gridCol w:w="1021"/>
      </w:tblGrid>
      <w:tr w:rsidR="00E9166C" w14:paraId="1950BD60" w14:textId="77777777" w:rsidTr="00957225">
        <w:tc>
          <w:tcPr>
            <w:tcW w:w="9752" w:type="dxa"/>
            <w:gridSpan w:val="7"/>
            <w:noWrap/>
            <w:vAlign w:val="bottom"/>
          </w:tcPr>
          <w:p w14:paraId="12EFEC81" w14:textId="77777777" w:rsidR="00E9166C" w:rsidRDefault="00E9166C" w:rsidP="00957225">
            <w:pPr>
              <w:pStyle w:val="TTitleText"/>
            </w:pPr>
            <w:bookmarkStart w:id="4" w:name="SNEID_85d09f71088748289033ed0b48913429"/>
            <w:proofErr w:type="spellStart"/>
            <w:r>
              <w:lastRenderedPageBreak/>
              <w:t>Ergebnisrechnung</w:t>
            </w:r>
            <w:proofErr w:type="spellEnd"/>
            <w:r>
              <w:t xml:space="preserve"> </w:t>
            </w:r>
            <w:proofErr w:type="spellStart"/>
            <w:r>
              <w:t>im</w:t>
            </w:r>
            <w:proofErr w:type="spellEnd"/>
            <w:r>
              <w:t xml:space="preserve"> </w:t>
            </w:r>
            <w:proofErr w:type="spellStart"/>
            <w:r>
              <w:t>Überblick</w:t>
            </w:r>
            <w:proofErr w:type="spellEnd"/>
          </w:p>
        </w:tc>
      </w:tr>
      <w:tr w:rsidR="00E9166C" w14:paraId="77A0034F" w14:textId="77777777" w:rsidTr="00957225">
        <w:tc>
          <w:tcPr>
            <w:tcW w:w="6332" w:type="dxa"/>
            <w:tcBorders>
              <w:top w:val="single" w:sz="8" w:space="0" w:color="000000"/>
            </w:tcBorders>
            <w:noWrap/>
            <w:vAlign w:val="bottom"/>
          </w:tcPr>
          <w:p w14:paraId="497DBB4E" w14:textId="77777777" w:rsidR="00E9166C" w:rsidRDefault="00E9166C" w:rsidP="00957225">
            <w:pPr>
              <w:pStyle w:val="TDummy"/>
              <w:keepNext/>
            </w:pPr>
          </w:p>
        </w:tc>
        <w:tc>
          <w:tcPr>
            <w:tcW w:w="119" w:type="dxa"/>
            <w:tcBorders>
              <w:top w:val="single" w:sz="8" w:space="0" w:color="000000"/>
            </w:tcBorders>
            <w:noWrap/>
            <w:vAlign w:val="bottom"/>
          </w:tcPr>
          <w:p w14:paraId="77877859" w14:textId="77777777" w:rsidR="00E9166C" w:rsidRDefault="00E9166C" w:rsidP="00957225">
            <w:pPr>
              <w:pStyle w:val="TDummy"/>
              <w:keepNext/>
            </w:pPr>
          </w:p>
        </w:tc>
        <w:tc>
          <w:tcPr>
            <w:tcW w:w="1021" w:type="dxa"/>
            <w:tcBorders>
              <w:top w:val="single" w:sz="8" w:space="0" w:color="000000"/>
            </w:tcBorders>
            <w:noWrap/>
            <w:vAlign w:val="bottom"/>
          </w:tcPr>
          <w:p w14:paraId="2320E672" w14:textId="77777777" w:rsidR="00E9166C" w:rsidRDefault="00E9166C" w:rsidP="00957225">
            <w:pPr>
              <w:pStyle w:val="TDummy"/>
              <w:keepNext/>
            </w:pPr>
          </w:p>
        </w:tc>
        <w:tc>
          <w:tcPr>
            <w:tcW w:w="119" w:type="dxa"/>
            <w:tcBorders>
              <w:top w:val="single" w:sz="8" w:space="0" w:color="000000"/>
            </w:tcBorders>
            <w:noWrap/>
            <w:vAlign w:val="bottom"/>
          </w:tcPr>
          <w:p w14:paraId="40355D7C" w14:textId="77777777" w:rsidR="00E9166C" w:rsidRDefault="00E9166C" w:rsidP="00957225">
            <w:pPr>
              <w:pStyle w:val="TDummy"/>
              <w:keepNext/>
            </w:pPr>
          </w:p>
        </w:tc>
        <w:tc>
          <w:tcPr>
            <w:tcW w:w="1021" w:type="dxa"/>
            <w:tcBorders>
              <w:top w:val="single" w:sz="8" w:space="0" w:color="000000"/>
            </w:tcBorders>
            <w:noWrap/>
            <w:vAlign w:val="bottom"/>
          </w:tcPr>
          <w:p w14:paraId="5A502F1E" w14:textId="77777777" w:rsidR="00E9166C" w:rsidRDefault="00E9166C" w:rsidP="00957225">
            <w:pPr>
              <w:pStyle w:val="TDummy"/>
              <w:keepNext/>
            </w:pPr>
          </w:p>
        </w:tc>
        <w:tc>
          <w:tcPr>
            <w:tcW w:w="119" w:type="dxa"/>
            <w:tcBorders>
              <w:top w:val="single" w:sz="8" w:space="0" w:color="000000"/>
            </w:tcBorders>
            <w:noWrap/>
            <w:vAlign w:val="bottom"/>
          </w:tcPr>
          <w:p w14:paraId="512C8044" w14:textId="77777777" w:rsidR="00E9166C" w:rsidRDefault="00E9166C" w:rsidP="00957225">
            <w:pPr>
              <w:pStyle w:val="TDummy"/>
              <w:keepNext/>
            </w:pPr>
          </w:p>
        </w:tc>
        <w:tc>
          <w:tcPr>
            <w:tcW w:w="1021" w:type="dxa"/>
            <w:tcBorders>
              <w:top w:val="single" w:sz="8" w:space="0" w:color="000000"/>
            </w:tcBorders>
            <w:noWrap/>
            <w:vAlign w:val="bottom"/>
          </w:tcPr>
          <w:p w14:paraId="33419FE6" w14:textId="77777777" w:rsidR="00E9166C" w:rsidRDefault="00E9166C" w:rsidP="00957225">
            <w:pPr>
              <w:pStyle w:val="TDummy"/>
              <w:keepNext/>
            </w:pPr>
          </w:p>
        </w:tc>
      </w:tr>
      <w:tr w:rsidR="00E9166C" w14:paraId="5EA69BF4" w14:textId="77777777" w:rsidTr="00957225">
        <w:tc>
          <w:tcPr>
            <w:tcW w:w="6332" w:type="dxa"/>
            <w:shd w:val="clear" w:color="000000" w:fill="FFFFFF"/>
            <w:noWrap/>
            <w:vAlign w:val="bottom"/>
          </w:tcPr>
          <w:p w14:paraId="50ABD5D9" w14:textId="77777777" w:rsidR="00E9166C" w:rsidRDefault="00E9166C" w:rsidP="00957225">
            <w:pPr>
              <w:pStyle w:val="THeadfirstNumber"/>
            </w:pPr>
            <w:bookmarkStart w:id="5" w:name="RANGE!B6"/>
            <w:bookmarkEnd w:id="5"/>
          </w:p>
        </w:tc>
        <w:tc>
          <w:tcPr>
            <w:tcW w:w="119" w:type="dxa"/>
            <w:noWrap/>
            <w:vAlign w:val="bottom"/>
          </w:tcPr>
          <w:p w14:paraId="6B37D240" w14:textId="77777777" w:rsidR="00E9166C" w:rsidRDefault="00E9166C" w:rsidP="00957225">
            <w:pPr>
              <w:pStyle w:val="THeadfirstNumber"/>
            </w:pPr>
          </w:p>
        </w:tc>
        <w:tc>
          <w:tcPr>
            <w:tcW w:w="3301" w:type="dxa"/>
            <w:gridSpan w:val="5"/>
            <w:tcBorders>
              <w:bottom w:val="single" w:sz="4" w:space="0" w:color="A59C94"/>
            </w:tcBorders>
            <w:shd w:val="clear" w:color="000000" w:fill="FFFFFF"/>
            <w:noWrap/>
            <w:vAlign w:val="bottom"/>
          </w:tcPr>
          <w:p w14:paraId="5789DB15" w14:textId="77777777" w:rsidR="00E9166C" w:rsidRDefault="00E9166C" w:rsidP="00957225">
            <w:pPr>
              <w:pStyle w:val="THeadfirstNumber"/>
            </w:pPr>
            <w:bookmarkStart w:id="6" w:name="SNAMD_02b537d3193b4db7b6f6398febd90ddf"/>
            <w:r>
              <w:t>2. Quartal</w:t>
            </w:r>
            <w:bookmarkEnd w:id="6"/>
          </w:p>
        </w:tc>
      </w:tr>
      <w:tr w:rsidR="00E9166C" w14:paraId="2E093181" w14:textId="77777777" w:rsidTr="00957225">
        <w:tc>
          <w:tcPr>
            <w:tcW w:w="6332" w:type="dxa"/>
            <w:tcBorders>
              <w:bottom w:val="single" w:sz="4" w:space="0" w:color="000000"/>
            </w:tcBorders>
            <w:shd w:val="clear" w:color="000000" w:fill="FFFFFF"/>
            <w:noWrap/>
            <w:vAlign w:val="bottom"/>
          </w:tcPr>
          <w:p w14:paraId="38B9CBFD" w14:textId="77777777" w:rsidR="00E9166C" w:rsidRDefault="00E9166C" w:rsidP="00957225">
            <w:pPr>
              <w:pStyle w:val="THeadlastText"/>
            </w:pPr>
            <w:r>
              <w:t>in Millionen €</w:t>
            </w:r>
          </w:p>
        </w:tc>
        <w:tc>
          <w:tcPr>
            <w:tcW w:w="119" w:type="dxa"/>
            <w:noWrap/>
            <w:vAlign w:val="bottom"/>
          </w:tcPr>
          <w:p w14:paraId="4AD37569"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2D4C2871" w14:textId="77777777" w:rsidR="00E9166C" w:rsidRDefault="00E9166C" w:rsidP="00957225">
            <w:pPr>
              <w:pStyle w:val="THeadlastNumber"/>
            </w:pPr>
            <w:r>
              <w:t>2020</w:t>
            </w:r>
          </w:p>
        </w:tc>
        <w:tc>
          <w:tcPr>
            <w:tcW w:w="119" w:type="dxa"/>
            <w:vAlign w:val="bottom"/>
          </w:tcPr>
          <w:p w14:paraId="5DB85516"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03A50543" w14:textId="77777777" w:rsidR="00E9166C" w:rsidRDefault="00E9166C" w:rsidP="00957225">
            <w:pPr>
              <w:pStyle w:val="THeadlastNumberbold"/>
            </w:pPr>
            <w:bookmarkStart w:id="7" w:name="RANGE!F7:F20"/>
            <w:bookmarkEnd w:id="7"/>
            <w:r>
              <w:t>2021</w:t>
            </w:r>
          </w:p>
        </w:tc>
        <w:tc>
          <w:tcPr>
            <w:tcW w:w="119" w:type="dxa"/>
            <w:vAlign w:val="bottom"/>
          </w:tcPr>
          <w:p w14:paraId="6CC78DC4"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3E967B69" w14:textId="77777777" w:rsidR="00E9166C" w:rsidRDefault="00E9166C" w:rsidP="00957225">
            <w:pPr>
              <w:pStyle w:val="THeaddifferenceNumber"/>
              <w:keepNext/>
            </w:pPr>
            <w:bookmarkStart w:id="8" w:name="RANGE!H7:H20"/>
            <w:bookmarkEnd w:id="8"/>
            <w:proofErr w:type="spellStart"/>
            <w:r>
              <w:t>Veränd</w:t>
            </w:r>
            <w:proofErr w:type="spellEnd"/>
            <w:r>
              <w:t>. in %</w:t>
            </w:r>
          </w:p>
        </w:tc>
      </w:tr>
      <w:tr w:rsidR="00E9166C" w14:paraId="51E33741" w14:textId="77777777" w:rsidTr="00957225">
        <w:tc>
          <w:tcPr>
            <w:tcW w:w="6332" w:type="dxa"/>
            <w:tcBorders>
              <w:top w:val="single" w:sz="4" w:space="0" w:color="000000"/>
              <w:bottom w:val="single" w:sz="4" w:space="0" w:color="A59C94"/>
            </w:tcBorders>
            <w:noWrap/>
            <w:vAlign w:val="bottom"/>
          </w:tcPr>
          <w:p w14:paraId="31BCEAD8" w14:textId="77777777" w:rsidR="00E9166C" w:rsidRDefault="00E9166C" w:rsidP="00957225">
            <w:pPr>
              <w:pStyle w:val="TBodysubtotalText"/>
              <w:keepNext/>
            </w:pPr>
            <w:r>
              <w:t>Umsatzerlöse</w:t>
            </w:r>
          </w:p>
        </w:tc>
        <w:tc>
          <w:tcPr>
            <w:tcW w:w="119" w:type="dxa"/>
            <w:noWrap/>
            <w:vAlign w:val="bottom"/>
          </w:tcPr>
          <w:p w14:paraId="378A3729" w14:textId="77777777" w:rsidR="00E9166C" w:rsidRDefault="00E9166C" w:rsidP="00957225">
            <w:pPr>
              <w:pStyle w:val="TBodysubtotalNumber"/>
              <w:keepNext/>
            </w:pPr>
          </w:p>
        </w:tc>
        <w:tc>
          <w:tcPr>
            <w:tcW w:w="1021" w:type="dxa"/>
            <w:tcBorders>
              <w:top w:val="single" w:sz="4" w:space="0" w:color="000000"/>
              <w:bottom w:val="single" w:sz="4" w:space="0" w:color="A59C94"/>
            </w:tcBorders>
            <w:noWrap/>
            <w:vAlign w:val="bottom"/>
          </w:tcPr>
          <w:p w14:paraId="4C72FFCD" w14:textId="77777777" w:rsidR="00E9166C" w:rsidRDefault="00E9166C" w:rsidP="00957225">
            <w:pPr>
              <w:pStyle w:val="TBodysubtotalNumber"/>
              <w:keepNext/>
            </w:pPr>
            <w:bookmarkStart w:id="9" w:name="SNAMD_857d6906b5a349849c12c1cbe4c57171"/>
            <w:r>
              <w:t>2.827</w:t>
            </w:r>
            <w:bookmarkEnd w:id="9"/>
          </w:p>
        </w:tc>
        <w:tc>
          <w:tcPr>
            <w:tcW w:w="119" w:type="dxa"/>
            <w:noWrap/>
            <w:vAlign w:val="bottom"/>
          </w:tcPr>
          <w:p w14:paraId="72CC487E" w14:textId="77777777" w:rsidR="00E9166C" w:rsidRDefault="00E9166C" w:rsidP="00957225">
            <w:pPr>
              <w:pStyle w:val="TBodysubtotalNumber"/>
              <w:keepNext/>
            </w:pPr>
          </w:p>
        </w:tc>
        <w:tc>
          <w:tcPr>
            <w:tcW w:w="1021" w:type="dxa"/>
            <w:tcBorders>
              <w:top w:val="single" w:sz="4" w:space="0" w:color="000000"/>
              <w:bottom w:val="single" w:sz="4" w:space="0" w:color="A59C94"/>
            </w:tcBorders>
            <w:shd w:val="clear" w:color="000000" w:fill="DAD5C9"/>
            <w:noWrap/>
            <w:vAlign w:val="bottom"/>
          </w:tcPr>
          <w:p w14:paraId="2205EEA1" w14:textId="77777777" w:rsidR="00E9166C" w:rsidRDefault="00E9166C" w:rsidP="00957225">
            <w:pPr>
              <w:pStyle w:val="TBodysubtotalNumber"/>
              <w:keepNext/>
            </w:pPr>
            <w:bookmarkStart w:id="10" w:name="SNAMD_2066b9666fe54c60be8b477286d68879"/>
            <w:r>
              <w:t>3.636</w:t>
            </w:r>
            <w:bookmarkEnd w:id="10"/>
          </w:p>
        </w:tc>
        <w:tc>
          <w:tcPr>
            <w:tcW w:w="119" w:type="dxa"/>
            <w:noWrap/>
            <w:vAlign w:val="bottom"/>
          </w:tcPr>
          <w:p w14:paraId="58A05CD8" w14:textId="77777777" w:rsidR="00E9166C" w:rsidRDefault="00E9166C" w:rsidP="00957225">
            <w:pPr>
              <w:pStyle w:val="TBodysubtotalNumber"/>
              <w:keepNext/>
            </w:pPr>
          </w:p>
        </w:tc>
        <w:tc>
          <w:tcPr>
            <w:tcW w:w="1021" w:type="dxa"/>
            <w:tcBorders>
              <w:top w:val="single" w:sz="4" w:space="0" w:color="000000"/>
              <w:bottom w:val="single" w:sz="4" w:space="0" w:color="A59C94"/>
            </w:tcBorders>
            <w:noWrap/>
            <w:vAlign w:val="bottom"/>
          </w:tcPr>
          <w:p w14:paraId="1B16B9D1" w14:textId="77777777" w:rsidR="00E9166C" w:rsidRDefault="00E9166C" w:rsidP="00957225">
            <w:pPr>
              <w:pStyle w:val="TBodysubtotalNumber"/>
              <w:keepNext/>
            </w:pPr>
            <w:bookmarkStart w:id="11" w:name="SNAMD_5dcdc6d8e8ab49d18326418d7b7751b7"/>
            <w:r>
              <w:t>29</w:t>
            </w:r>
            <w:bookmarkEnd w:id="11"/>
          </w:p>
        </w:tc>
      </w:tr>
      <w:tr w:rsidR="00E9166C" w14:paraId="6ECAB3B1" w14:textId="77777777" w:rsidTr="00957225">
        <w:tc>
          <w:tcPr>
            <w:tcW w:w="6332" w:type="dxa"/>
            <w:tcBorders>
              <w:top w:val="single" w:sz="4" w:space="0" w:color="A59C94"/>
              <w:bottom w:val="single" w:sz="4" w:space="0" w:color="A59C94"/>
            </w:tcBorders>
            <w:noWrap/>
            <w:vAlign w:val="bottom"/>
          </w:tcPr>
          <w:p w14:paraId="14CB9886" w14:textId="77777777" w:rsidR="00E9166C" w:rsidRDefault="00E9166C" w:rsidP="00957225">
            <w:pPr>
              <w:pStyle w:val="TBodysubtotalText"/>
              <w:keepNext/>
            </w:pPr>
            <w:r>
              <w:t>Bereinigtes EBITDA</w:t>
            </w:r>
          </w:p>
        </w:tc>
        <w:tc>
          <w:tcPr>
            <w:tcW w:w="119" w:type="dxa"/>
            <w:noWrap/>
            <w:vAlign w:val="bottom"/>
          </w:tcPr>
          <w:p w14:paraId="61A71356" w14:textId="77777777" w:rsidR="00E9166C" w:rsidRDefault="00E9166C" w:rsidP="00957225">
            <w:pPr>
              <w:pStyle w:val="TBodysubtotalNumber"/>
              <w:keepNext/>
            </w:pPr>
          </w:p>
        </w:tc>
        <w:tc>
          <w:tcPr>
            <w:tcW w:w="1021" w:type="dxa"/>
            <w:tcBorders>
              <w:top w:val="single" w:sz="4" w:space="0" w:color="A59C94"/>
              <w:bottom w:val="single" w:sz="4" w:space="0" w:color="A59C94"/>
            </w:tcBorders>
            <w:noWrap/>
            <w:vAlign w:val="bottom"/>
          </w:tcPr>
          <w:p w14:paraId="619DAF18" w14:textId="77777777" w:rsidR="00E9166C" w:rsidRDefault="00E9166C" w:rsidP="00957225">
            <w:pPr>
              <w:pStyle w:val="TBodysubtotalNumber"/>
              <w:keepNext/>
            </w:pPr>
            <w:bookmarkStart w:id="12" w:name="SNAMD_5dabeb8f4d7043ec8a99031d2b69fd96"/>
            <w:r>
              <w:t>456</w:t>
            </w:r>
            <w:bookmarkEnd w:id="12"/>
          </w:p>
        </w:tc>
        <w:tc>
          <w:tcPr>
            <w:tcW w:w="119" w:type="dxa"/>
            <w:noWrap/>
            <w:vAlign w:val="bottom"/>
          </w:tcPr>
          <w:p w14:paraId="79531849" w14:textId="77777777" w:rsidR="00E9166C" w:rsidRDefault="00E9166C" w:rsidP="00957225">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03D7B04B" w14:textId="77777777" w:rsidR="00E9166C" w:rsidRDefault="00E9166C" w:rsidP="00957225">
            <w:pPr>
              <w:pStyle w:val="TBodysubtotalNumber"/>
              <w:keepNext/>
            </w:pPr>
            <w:bookmarkStart w:id="13" w:name="SNAMD_c29557f5d22f449f9cb2e39148986e7d"/>
            <w:r>
              <w:t>649</w:t>
            </w:r>
            <w:bookmarkEnd w:id="13"/>
          </w:p>
        </w:tc>
        <w:tc>
          <w:tcPr>
            <w:tcW w:w="119" w:type="dxa"/>
            <w:noWrap/>
            <w:vAlign w:val="bottom"/>
          </w:tcPr>
          <w:p w14:paraId="0492E5D2" w14:textId="77777777" w:rsidR="00E9166C" w:rsidRDefault="00E9166C" w:rsidP="00957225">
            <w:pPr>
              <w:pStyle w:val="TBodysubtotalNumber"/>
              <w:keepNext/>
            </w:pPr>
          </w:p>
        </w:tc>
        <w:tc>
          <w:tcPr>
            <w:tcW w:w="1021" w:type="dxa"/>
            <w:tcBorders>
              <w:top w:val="single" w:sz="4" w:space="0" w:color="A59C94"/>
              <w:bottom w:val="single" w:sz="4" w:space="0" w:color="A59C94"/>
            </w:tcBorders>
            <w:noWrap/>
            <w:vAlign w:val="bottom"/>
          </w:tcPr>
          <w:p w14:paraId="12876216" w14:textId="77777777" w:rsidR="00E9166C" w:rsidRDefault="00E9166C" w:rsidP="00957225">
            <w:pPr>
              <w:pStyle w:val="TBodysubtotalNumber"/>
              <w:keepNext/>
            </w:pPr>
            <w:bookmarkStart w:id="14" w:name="SNAMD_7f0f073dc3034743895940f4a43ec16e"/>
            <w:r>
              <w:t>42</w:t>
            </w:r>
            <w:bookmarkEnd w:id="14"/>
          </w:p>
        </w:tc>
      </w:tr>
      <w:tr w:rsidR="00E9166C" w14:paraId="7B972749" w14:textId="77777777" w:rsidTr="00957225">
        <w:tc>
          <w:tcPr>
            <w:tcW w:w="6332" w:type="dxa"/>
            <w:tcBorders>
              <w:top w:val="single" w:sz="4" w:space="0" w:color="A59C94"/>
              <w:bottom w:val="single" w:sz="4" w:space="0" w:color="A59C94"/>
            </w:tcBorders>
            <w:noWrap/>
            <w:vAlign w:val="bottom"/>
          </w:tcPr>
          <w:p w14:paraId="715C7500" w14:textId="77777777" w:rsidR="00E9166C" w:rsidRDefault="00E9166C" w:rsidP="00957225">
            <w:pPr>
              <w:pStyle w:val="TBodysubtotalText"/>
              <w:keepNext/>
            </w:pPr>
            <w:r>
              <w:t>Bereinigtes EBIT</w:t>
            </w:r>
          </w:p>
        </w:tc>
        <w:tc>
          <w:tcPr>
            <w:tcW w:w="119" w:type="dxa"/>
            <w:noWrap/>
            <w:vAlign w:val="bottom"/>
          </w:tcPr>
          <w:p w14:paraId="030169D4" w14:textId="77777777" w:rsidR="00E9166C" w:rsidRDefault="00E9166C" w:rsidP="00957225">
            <w:pPr>
              <w:pStyle w:val="TBodysubtotalNumber"/>
              <w:keepNext/>
            </w:pPr>
          </w:p>
        </w:tc>
        <w:tc>
          <w:tcPr>
            <w:tcW w:w="1021" w:type="dxa"/>
            <w:tcBorders>
              <w:top w:val="single" w:sz="4" w:space="0" w:color="A59C94"/>
              <w:bottom w:val="single" w:sz="4" w:space="0" w:color="A59C94"/>
            </w:tcBorders>
            <w:noWrap/>
            <w:vAlign w:val="bottom"/>
          </w:tcPr>
          <w:p w14:paraId="6845A1FC" w14:textId="77777777" w:rsidR="00E9166C" w:rsidRDefault="00E9166C" w:rsidP="00957225">
            <w:pPr>
              <w:pStyle w:val="TBodysubtotalNumber"/>
              <w:keepNext/>
            </w:pPr>
            <w:bookmarkStart w:id="15" w:name="SNAMD_896625cccfc24709b51631f4ab695e4f"/>
            <w:r>
              <w:t>202</w:t>
            </w:r>
            <w:bookmarkEnd w:id="15"/>
          </w:p>
        </w:tc>
        <w:tc>
          <w:tcPr>
            <w:tcW w:w="119" w:type="dxa"/>
            <w:noWrap/>
            <w:vAlign w:val="bottom"/>
          </w:tcPr>
          <w:p w14:paraId="526434B0" w14:textId="77777777" w:rsidR="00E9166C" w:rsidRDefault="00E9166C" w:rsidP="00957225">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6946233E" w14:textId="77777777" w:rsidR="00E9166C" w:rsidRDefault="00E9166C" w:rsidP="00957225">
            <w:pPr>
              <w:pStyle w:val="TBodysubtotalNumber"/>
              <w:keepNext/>
            </w:pPr>
            <w:bookmarkStart w:id="16" w:name="SNAMD_e36c0499c3b84662a21781166b463c74"/>
            <w:r>
              <w:t>398</w:t>
            </w:r>
            <w:bookmarkEnd w:id="16"/>
          </w:p>
        </w:tc>
        <w:tc>
          <w:tcPr>
            <w:tcW w:w="119" w:type="dxa"/>
            <w:noWrap/>
            <w:vAlign w:val="bottom"/>
          </w:tcPr>
          <w:p w14:paraId="42C30386" w14:textId="77777777" w:rsidR="00E9166C" w:rsidRDefault="00E9166C" w:rsidP="00957225">
            <w:pPr>
              <w:pStyle w:val="TBodysubtotalNumber"/>
              <w:keepNext/>
            </w:pPr>
          </w:p>
        </w:tc>
        <w:tc>
          <w:tcPr>
            <w:tcW w:w="1021" w:type="dxa"/>
            <w:tcBorders>
              <w:top w:val="single" w:sz="4" w:space="0" w:color="A59C94"/>
              <w:bottom w:val="single" w:sz="4" w:space="0" w:color="A59C94"/>
            </w:tcBorders>
            <w:noWrap/>
            <w:vAlign w:val="bottom"/>
          </w:tcPr>
          <w:p w14:paraId="4E6B0B23" w14:textId="77777777" w:rsidR="00E9166C" w:rsidRDefault="00E9166C" w:rsidP="00957225">
            <w:pPr>
              <w:pStyle w:val="TBodysubtotalNumber"/>
              <w:keepNext/>
            </w:pPr>
            <w:bookmarkStart w:id="17" w:name="SNAMD_66f73e92193947d880633983642c2f12"/>
            <w:r>
              <w:t>97</w:t>
            </w:r>
            <w:bookmarkEnd w:id="17"/>
          </w:p>
        </w:tc>
      </w:tr>
      <w:tr w:rsidR="00E9166C" w14:paraId="4AE9292E" w14:textId="77777777" w:rsidTr="00957225">
        <w:tc>
          <w:tcPr>
            <w:tcW w:w="6332" w:type="dxa"/>
            <w:tcBorders>
              <w:top w:val="single" w:sz="4" w:space="0" w:color="A59C94"/>
              <w:bottom w:val="single" w:sz="4" w:space="0" w:color="A59C94"/>
            </w:tcBorders>
            <w:noWrap/>
            <w:vAlign w:val="bottom"/>
          </w:tcPr>
          <w:p w14:paraId="70CB1919" w14:textId="77777777" w:rsidR="00E9166C" w:rsidRDefault="00E9166C" w:rsidP="00957225">
            <w:pPr>
              <w:pStyle w:val="TBodynormalText"/>
            </w:pPr>
            <w:r>
              <w:t>Bereinigungen</w:t>
            </w:r>
          </w:p>
        </w:tc>
        <w:tc>
          <w:tcPr>
            <w:tcW w:w="119" w:type="dxa"/>
            <w:noWrap/>
            <w:vAlign w:val="bottom"/>
          </w:tcPr>
          <w:p w14:paraId="3A8EBE68"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112B6C08" w14:textId="77777777" w:rsidR="00E9166C" w:rsidRDefault="00E9166C" w:rsidP="00957225">
            <w:pPr>
              <w:pStyle w:val="TBodynormalNumber"/>
              <w:keepNext/>
            </w:pPr>
            <w:bookmarkStart w:id="18" w:name="SNAMD_4ec90eec2bad4b92801118c721940a1d"/>
            <w:r>
              <w:t>-14</w:t>
            </w:r>
            <w:bookmarkEnd w:id="18"/>
          </w:p>
        </w:tc>
        <w:tc>
          <w:tcPr>
            <w:tcW w:w="119" w:type="dxa"/>
            <w:noWrap/>
            <w:vAlign w:val="bottom"/>
          </w:tcPr>
          <w:p w14:paraId="49DC36FD"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03657B6" w14:textId="77777777" w:rsidR="00E9166C" w:rsidRDefault="00E9166C" w:rsidP="00957225">
            <w:pPr>
              <w:pStyle w:val="TBodynormalNumber"/>
              <w:keepNext/>
            </w:pPr>
            <w:bookmarkStart w:id="19" w:name="SNAMD_fe358f25c9814213938e1704f2c7b429"/>
            <w:r>
              <w:t>-18</w:t>
            </w:r>
            <w:bookmarkEnd w:id="19"/>
          </w:p>
        </w:tc>
        <w:tc>
          <w:tcPr>
            <w:tcW w:w="119" w:type="dxa"/>
            <w:noWrap/>
            <w:vAlign w:val="bottom"/>
          </w:tcPr>
          <w:p w14:paraId="5FCFA5C0"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3C169F47" w14:textId="77777777" w:rsidR="00E9166C" w:rsidRDefault="00E9166C" w:rsidP="00957225">
            <w:pPr>
              <w:pStyle w:val="TBodynormalNumber"/>
              <w:keepNext/>
            </w:pPr>
          </w:p>
        </w:tc>
      </w:tr>
      <w:tr w:rsidR="00E9166C" w14:paraId="26022397" w14:textId="77777777" w:rsidTr="00957225">
        <w:tc>
          <w:tcPr>
            <w:tcW w:w="6332" w:type="dxa"/>
            <w:tcBorders>
              <w:top w:val="single" w:sz="4" w:space="0" w:color="A59C94"/>
              <w:bottom w:val="single" w:sz="4" w:space="0" w:color="A59C94"/>
            </w:tcBorders>
            <w:noWrap/>
            <w:vAlign w:val="bottom"/>
          </w:tcPr>
          <w:p w14:paraId="6DDDA100" w14:textId="77777777" w:rsidR="00E9166C" w:rsidRDefault="00E9166C" w:rsidP="00957225">
            <w:pPr>
              <w:pStyle w:val="TBodynormalText"/>
            </w:pPr>
            <w:r>
              <w:t>Finanzergebnis</w:t>
            </w:r>
          </w:p>
        </w:tc>
        <w:tc>
          <w:tcPr>
            <w:tcW w:w="119" w:type="dxa"/>
            <w:noWrap/>
            <w:vAlign w:val="bottom"/>
          </w:tcPr>
          <w:p w14:paraId="6A766E4A"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5C71FF4C" w14:textId="77777777" w:rsidR="00E9166C" w:rsidRDefault="00E9166C" w:rsidP="00957225">
            <w:pPr>
              <w:pStyle w:val="TBodynormalNumber"/>
              <w:keepNext/>
            </w:pPr>
            <w:bookmarkStart w:id="20" w:name="SNAMD_fb48a48770e44713806991214a540bac"/>
            <w:r>
              <w:t>-25</w:t>
            </w:r>
            <w:bookmarkEnd w:id="20"/>
          </w:p>
        </w:tc>
        <w:tc>
          <w:tcPr>
            <w:tcW w:w="119" w:type="dxa"/>
            <w:noWrap/>
            <w:vAlign w:val="bottom"/>
          </w:tcPr>
          <w:p w14:paraId="1C5BEE76"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DD7F545" w14:textId="77777777" w:rsidR="00E9166C" w:rsidRDefault="00E9166C" w:rsidP="00957225">
            <w:pPr>
              <w:pStyle w:val="TBodynormalNumber"/>
              <w:keepNext/>
            </w:pPr>
            <w:bookmarkStart w:id="21" w:name="SNAMD_dd1458cdb88a4f2bbf505c74c9f0cbab"/>
            <w:r>
              <w:t>-40</w:t>
            </w:r>
            <w:bookmarkEnd w:id="21"/>
          </w:p>
        </w:tc>
        <w:tc>
          <w:tcPr>
            <w:tcW w:w="119" w:type="dxa"/>
            <w:noWrap/>
            <w:vAlign w:val="bottom"/>
          </w:tcPr>
          <w:p w14:paraId="30E907B9"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76DA0BC3" w14:textId="77777777" w:rsidR="00E9166C" w:rsidRDefault="00E9166C" w:rsidP="00957225">
            <w:pPr>
              <w:pStyle w:val="TBodynormalNumber"/>
              <w:keepNext/>
            </w:pPr>
          </w:p>
        </w:tc>
      </w:tr>
      <w:tr w:rsidR="00E9166C" w14:paraId="209A9662" w14:textId="77777777" w:rsidTr="00957225">
        <w:tc>
          <w:tcPr>
            <w:tcW w:w="6332" w:type="dxa"/>
            <w:tcBorders>
              <w:top w:val="single" w:sz="4" w:space="0" w:color="A59C94"/>
              <w:bottom w:val="single" w:sz="4" w:space="0" w:color="000000"/>
            </w:tcBorders>
            <w:noWrap/>
            <w:vAlign w:val="bottom"/>
          </w:tcPr>
          <w:p w14:paraId="3B1C1320" w14:textId="77777777" w:rsidR="00E9166C" w:rsidRDefault="00E9166C" w:rsidP="00957225">
            <w:pPr>
              <w:pStyle w:val="TBodysubtotalText"/>
              <w:keepNext/>
            </w:pPr>
            <w:r>
              <w:t>Ergebnis vor Ertragsteuern fortgeführter Aktivitäten</w:t>
            </w:r>
          </w:p>
        </w:tc>
        <w:tc>
          <w:tcPr>
            <w:tcW w:w="119" w:type="dxa"/>
            <w:noWrap/>
            <w:vAlign w:val="bottom"/>
          </w:tcPr>
          <w:p w14:paraId="3F16801A" w14:textId="77777777" w:rsidR="00E9166C" w:rsidRDefault="00E9166C" w:rsidP="00957225">
            <w:pPr>
              <w:pStyle w:val="TBodysubtotalNumber"/>
              <w:keepNext/>
            </w:pPr>
          </w:p>
        </w:tc>
        <w:tc>
          <w:tcPr>
            <w:tcW w:w="1021" w:type="dxa"/>
            <w:tcBorders>
              <w:top w:val="single" w:sz="4" w:space="0" w:color="A59C94"/>
              <w:bottom w:val="single" w:sz="4" w:space="0" w:color="000000"/>
            </w:tcBorders>
            <w:noWrap/>
            <w:vAlign w:val="bottom"/>
          </w:tcPr>
          <w:p w14:paraId="5D3D383D" w14:textId="77777777" w:rsidR="00E9166C" w:rsidRDefault="00E9166C" w:rsidP="00957225">
            <w:pPr>
              <w:pStyle w:val="TBodysubtotalNumber"/>
              <w:keepNext/>
            </w:pPr>
            <w:bookmarkStart w:id="22" w:name="SNAMD_a25abe01554841918a091d19a3761b63"/>
            <w:r>
              <w:t>163</w:t>
            </w:r>
            <w:bookmarkEnd w:id="22"/>
          </w:p>
        </w:tc>
        <w:tc>
          <w:tcPr>
            <w:tcW w:w="119" w:type="dxa"/>
            <w:noWrap/>
            <w:vAlign w:val="bottom"/>
          </w:tcPr>
          <w:p w14:paraId="10A3715A" w14:textId="77777777" w:rsidR="00E9166C" w:rsidRDefault="00E9166C" w:rsidP="00957225">
            <w:pPr>
              <w:pStyle w:val="TBodysubtotalNumber"/>
              <w:keepNext/>
            </w:pPr>
          </w:p>
        </w:tc>
        <w:tc>
          <w:tcPr>
            <w:tcW w:w="1021" w:type="dxa"/>
            <w:tcBorders>
              <w:top w:val="single" w:sz="4" w:space="0" w:color="A59C94"/>
              <w:bottom w:val="single" w:sz="4" w:space="0" w:color="000000"/>
            </w:tcBorders>
            <w:shd w:val="clear" w:color="000000" w:fill="DAD5C9"/>
            <w:noWrap/>
            <w:vAlign w:val="bottom"/>
          </w:tcPr>
          <w:p w14:paraId="69404077" w14:textId="77777777" w:rsidR="00E9166C" w:rsidRDefault="00E9166C" w:rsidP="00957225">
            <w:pPr>
              <w:pStyle w:val="TBodysubtotalNumber"/>
              <w:keepNext/>
            </w:pPr>
            <w:bookmarkStart w:id="23" w:name="SNAMD_12da64cf64e0456c9d6381657f3d9cd6"/>
            <w:r>
              <w:t>340</w:t>
            </w:r>
            <w:bookmarkEnd w:id="23"/>
          </w:p>
        </w:tc>
        <w:tc>
          <w:tcPr>
            <w:tcW w:w="119" w:type="dxa"/>
            <w:noWrap/>
            <w:vAlign w:val="bottom"/>
          </w:tcPr>
          <w:p w14:paraId="60F60CF7" w14:textId="77777777" w:rsidR="00E9166C" w:rsidRDefault="00E9166C" w:rsidP="00957225">
            <w:pPr>
              <w:pStyle w:val="TBodysubtotalNumber"/>
              <w:keepNext/>
            </w:pPr>
          </w:p>
        </w:tc>
        <w:tc>
          <w:tcPr>
            <w:tcW w:w="1021" w:type="dxa"/>
            <w:tcBorders>
              <w:top w:val="single" w:sz="4" w:space="0" w:color="A59C94"/>
              <w:bottom w:val="single" w:sz="4" w:space="0" w:color="000000"/>
            </w:tcBorders>
            <w:noWrap/>
            <w:vAlign w:val="bottom"/>
          </w:tcPr>
          <w:p w14:paraId="5A5C439C" w14:textId="77777777" w:rsidR="00E9166C" w:rsidRDefault="00E9166C" w:rsidP="00957225">
            <w:pPr>
              <w:pStyle w:val="TBodysubtotalNumber"/>
              <w:keepNext/>
            </w:pPr>
            <w:bookmarkStart w:id="24" w:name="SNAMD_f0adb3e9313b4168982246e0060259dd"/>
            <w:r>
              <w:t>109</w:t>
            </w:r>
            <w:bookmarkEnd w:id="24"/>
          </w:p>
        </w:tc>
      </w:tr>
      <w:tr w:rsidR="00E9166C" w14:paraId="7D2828AB" w14:textId="77777777" w:rsidTr="00957225">
        <w:trPr>
          <w:trHeight w:val="340"/>
        </w:trPr>
        <w:tc>
          <w:tcPr>
            <w:tcW w:w="6332" w:type="dxa"/>
            <w:tcBorders>
              <w:top w:val="single" w:sz="4" w:space="0" w:color="000000"/>
              <w:bottom w:val="single" w:sz="4" w:space="0" w:color="A59C94"/>
            </w:tcBorders>
            <w:noWrap/>
            <w:vAlign w:val="bottom"/>
          </w:tcPr>
          <w:p w14:paraId="6587F7DB" w14:textId="77777777" w:rsidR="00E9166C" w:rsidRDefault="00E9166C" w:rsidP="00957225">
            <w:pPr>
              <w:pStyle w:val="TBodynormalText"/>
            </w:pPr>
            <w:r>
              <w:t>Ertragsteuern</w:t>
            </w:r>
          </w:p>
        </w:tc>
        <w:tc>
          <w:tcPr>
            <w:tcW w:w="119" w:type="dxa"/>
            <w:noWrap/>
            <w:vAlign w:val="bottom"/>
          </w:tcPr>
          <w:p w14:paraId="2C3C66A0"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2439C857" w14:textId="77777777" w:rsidR="00E9166C" w:rsidRDefault="00E9166C" w:rsidP="00957225">
            <w:pPr>
              <w:pStyle w:val="TBodynormalNumber"/>
              <w:keepNext/>
            </w:pPr>
            <w:bookmarkStart w:id="25" w:name="SNAMD_c9f15001b5304dda8c6697118a25dd17"/>
            <w:r>
              <w:t>-34</w:t>
            </w:r>
            <w:bookmarkEnd w:id="25"/>
          </w:p>
        </w:tc>
        <w:tc>
          <w:tcPr>
            <w:tcW w:w="119" w:type="dxa"/>
            <w:noWrap/>
            <w:vAlign w:val="bottom"/>
          </w:tcPr>
          <w:p w14:paraId="57C77EA1" w14:textId="77777777" w:rsidR="00E9166C" w:rsidRDefault="00E9166C"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1B51DC34" w14:textId="77777777" w:rsidR="00E9166C" w:rsidRDefault="00E9166C" w:rsidP="00957225">
            <w:pPr>
              <w:pStyle w:val="TBodynormalNumber"/>
              <w:keepNext/>
            </w:pPr>
            <w:bookmarkStart w:id="26" w:name="SNAMD_25fd8601bb3044db99f7b196d7ce33c0"/>
            <w:r>
              <w:t>-113</w:t>
            </w:r>
            <w:bookmarkEnd w:id="26"/>
          </w:p>
        </w:tc>
        <w:tc>
          <w:tcPr>
            <w:tcW w:w="119" w:type="dxa"/>
            <w:noWrap/>
            <w:vAlign w:val="bottom"/>
          </w:tcPr>
          <w:p w14:paraId="2E797814"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05007228" w14:textId="77777777" w:rsidR="00E9166C" w:rsidRDefault="00E9166C" w:rsidP="00957225">
            <w:pPr>
              <w:pStyle w:val="TBodynormalNumber"/>
              <w:keepNext/>
            </w:pPr>
          </w:p>
        </w:tc>
      </w:tr>
      <w:tr w:rsidR="00E9166C" w14:paraId="05D4EE81" w14:textId="77777777" w:rsidTr="00957225">
        <w:tc>
          <w:tcPr>
            <w:tcW w:w="6332" w:type="dxa"/>
            <w:tcBorders>
              <w:top w:val="single" w:sz="4" w:space="0" w:color="A59C94"/>
              <w:bottom w:val="single" w:sz="4" w:space="0" w:color="000000"/>
            </w:tcBorders>
            <w:noWrap/>
            <w:vAlign w:val="bottom"/>
          </w:tcPr>
          <w:p w14:paraId="08AD148C" w14:textId="77777777" w:rsidR="00E9166C" w:rsidRDefault="00E9166C" w:rsidP="00957225">
            <w:pPr>
              <w:pStyle w:val="TBodysubtotalText"/>
              <w:keepNext/>
            </w:pPr>
            <w:r>
              <w:t>Ergebnis nach Steuern fortgeführter Aktivitäten</w:t>
            </w:r>
          </w:p>
        </w:tc>
        <w:tc>
          <w:tcPr>
            <w:tcW w:w="119" w:type="dxa"/>
            <w:noWrap/>
            <w:vAlign w:val="bottom"/>
          </w:tcPr>
          <w:p w14:paraId="72F9EC0A" w14:textId="77777777" w:rsidR="00E9166C" w:rsidRDefault="00E9166C" w:rsidP="00957225">
            <w:pPr>
              <w:pStyle w:val="TBodysubtotalNumber"/>
              <w:keepNext/>
            </w:pPr>
          </w:p>
        </w:tc>
        <w:tc>
          <w:tcPr>
            <w:tcW w:w="1021" w:type="dxa"/>
            <w:tcBorders>
              <w:top w:val="single" w:sz="4" w:space="0" w:color="A59C94"/>
              <w:bottom w:val="single" w:sz="4" w:space="0" w:color="000000"/>
            </w:tcBorders>
            <w:noWrap/>
            <w:vAlign w:val="bottom"/>
          </w:tcPr>
          <w:p w14:paraId="78E129C6" w14:textId="77777777" w:rsidR="00E9166C" w:rsidRDefault="00E9166C" w:rsidP="00957225">
            <w:pPr>
              <w:pStyle w:val="TBodysubtotalNumber"/>
              <w:keepNext/>
            </w:pPr>
            <w:bookmarkStart w:id="27" w:name="SNAMD_5880439f36344706a09d580edf9cea46"/>
            <w:r>
              <w:t>129</w:t>
            </w:r>
            <w:bookmarkEnd w:id="27"/>
          </w:p>
        </w:tc>
        <w:tc>
          <w:tcPr>
            <w:tcW w:w="119" w:type="dxa"/>
            <w:noWrap/>
            <w:vAlign w:val="bottom"/>
          </w:tcPr>
          <w:p w14:paraId="710C91BB" w14:textId="77777777" w:rsidR="00E9166C" w:rsidRDefault="00E9166C" w:rsidP="00957225">
            <w:pPr>
              <w:pStyle w:val="TBodysubtotalNumber"/>
              <w:keepNext/>
            </w:pPr>
          </w:p>
        </w:tc>
        <w:tc>
          <w:tcPr>
            <w:tcW w:w="1021" w:type="dxa"/>
            <w:tcBorders>
              <w:top w:val="single" w:sz="4" w:space="0" w:color="A59C94"/>
              <w:bottom w:val="single" w:sz="4" w:space="0" w:color="000000"/>
            </w:tcBorders>
            <w:shd w:val="clear" w:color="000000" w:fill="DAD5C9"/>
            <w:noWrap/>
            <w:vAlign w:val="bottom"/>
          </w:tcPr>
          <w:p w14:paraId="0A3F9611" w14:textId="77777777" w:rsidR="00E9166C" w:rsidRDefault="00E9166C" w:rsidP="00957225">
            <w:pPr>
              <w:pStyle w:val="TBodysubtotalNumber"/>
              <w:keepNext/>
            </w:pPr>
            <w:bookmarkStart w:id="28" w:name="SNAMD_43330be26bbd49a2a7380123654b65dd"/>
            <w:r>
              <w:t>227</w:t>
            </w:r>
            <w:bookmarkEnd w:id="28"/>
          </w:p>
        </w:tc>
        <w:tc>
          <w:tcPr>
            <w:tcW w:w="119" w:type="dxa"/>
            <w:noWrap/>
            <w:vAlign w:val="bottom"/>
          </w:tcPr>
          <w:p w14:paraId="446CC9A4" w14:textId="77777777" w:rsidR="00E9166C" w:rsidRDefault="00E9166C" w:rsidP="00957225">
            <w:pPr>
              <w:pStyle w:val="TBodysubtotalNumber"/>
              <w:keepNext/>
            </w:pPr>
          </w:p>
        </w:tc>
        <w:tc>
          <w:tcPr>
            <w:tcW w:w="1021" w:type="dxa"/>
            <w:tcBorders>
              <w:top w:val="single" w:sz="4" w:space="0" w:color="A59C94"/>
              <w:bottom w:val="single" w:sz="4" w:space="0" w:color="000000"/>
            </w:tcBorders>
            <w:noWrap/>
            <w:vAlign w:val="bottom"/>
          </w:tcPr>
          <w:p w14:paraId="1C806CA6" w14:textId="77777777" w:rsidR="00E9166C" w:rsidRDefault="00E9166C" w:rsidP="00957225">
            <w:pPr>
              <w:pStyle w:val="TBodysubtotalNumber"/>
              <w:keepNext/>
            </w:pPr>
            <w:bookmarkStart w:id="29" w:name="SNAMD_6ed082ac932f42398c10c1a45506a602"/>
            <w:r>
              <w:t>76</w:t>
            </w:r>
            <w:bookmarkEnd w:id="29"/>
          </w:p>
        </w:tc>
      </w:tr>
      <w:tr w:rsidR="00E9166C" w14:paraId="21825152" w14:textId="77777777" w:rsidTr="00957225">
        <w:trPr>
          <w:trHeight w:val="340"/>
        </w:trPr>
        <w:tc>
          <w:tcPr>
            <w:tcW w:w="6332" w:type="dxa"/>
            <w:tcBorders>
              <w:top w:val="single" w:sz="4" w:space="0" w:color="000000"/>
              <w:bottom w:val="single" w:sz="4" w:space="0" w:color="A59C94"/>
            </w:tcBorders>
            <w:noWrap/>
            <w:vAlign w:val="bottom"/>
          </w:tcPr>
          <w:p w14:paraId="54CE884E" w14:textId="77777777" w:rsidR="00E9166C" w:rsidRDefault="00E9166C" w:rsidP="00957225">
            <w:pPr>
              <w:pStyle w:val="TBodynormalText"/>
            </w:pPr>
            <w:r>
              <w:t>Ergebnis nach Steuern nicht fortgeführter Aktivitäten</w:t>
            </w:r>
          </w:p>
        </w:tc>
        <w:tc>
          <w:tcPr>
            <w:tcW w:w="119" w:type="dxa"/>
            <w:noWrap/>
            <w:vAlign w:val="bottom"/>
          </w:tcPr>
          <w:p w14:paraId="124FF015"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1FB9FDA5" w14:textId="77777777" w:rsidR="00E9166C" w:rsidRDefault="00E9166C" w:rsidP="00957225">
            <w:pPr>
              <w:pStyle w:val="TBodynormalNumber"/>
              <w:keepNext/>
            </w:pPr>
            <w:bookmarkStart w:id="30" w:name="SNAMD_0bf91d9631d74f39b7c6bcf5796e7b8d"/>
            <w:r>
              <w:t>-11</w:t>
            </w:r>
            <w:bookmarkEnd w:id="30"/>
          </w:p>
        </w:tc>
        <w:tc>
          <w:tcPr>
            <w:tcW w:w="119" w:type="dxa"/>
            <w:noWrap/>
            <w:vAlign w:val="bottom"/>
          </w:tcPr>
          <w:p w14:paraId="3D445645" w14:textId="77777777" w:rsidR="00E9166C" w:rsidRDefault="00E9166C"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01AE58CE" w14:textId="77777777" w:rsidR="00E9166C" w:rsidRDefault="00E9166C" w:rsidP="00957225">
            <w:pPr>
              <w:pStyle w:val="TBodynormalNumber"/>
              <w:keepNext/>
            </w:pPr>
            <w:bookmarkStart w:id="31" w:name="SNAMD_e6cf85e62c9544db88efff75fc891e61"/>
            <w:r>
              <w:t>-3</w:t>
            </w:r>
            <w:bookmarkEnd w:id="31"/>
          </w:p>
        </w:tc>
        <w:tc>
          <w:tcPr>
            <w:tcW w:w="119" w:type="dxa"/>
            <w:noWrap/>
            <w:vAlign w:val="bottom"/>
          </w:tcPr>
          <w:p w14:paraId="1891921B"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239EE34A" w14:textId="77777777" w:rsidR="00E9166C" w:rsidRDefault="00E9166C" w:rsidP="00957225">
            <w:pPr>
              <w:pStyle w:val="TBodynormalNumber"/>
              <w:keepNext/>
            </w:pPr>
          </w:p>
        </w:tc>
      </w:tr>
      <w:tr w:rsidR="00E9166C" w14:paraId="0A62B24D" w14:textId="77777777" w:rsidTr="00957225">
        <w:tc>
          <w:tcPr>
            <w:tcW w:w="6332" w:type="dxa"/>
            <w:tcBorders>
              <w:top w:val="single" w:sz="4" w:space="0" w:color="A59C94"/>
              <w:bottom w:val="single" w:sz="4" w:space="0" w:color="000000"/>
            </w:tcBorders>
            <w:noWrap/>
            <w:vAlign w:val="bottom"/>
          </w:tcPr>
          <w:p w14:paraId="1F767C8D" w14:textId="77777777" w:rsidR="00E9166C" w:rsidRDefault="00E9166C" w:rsidP="00957225">
            <w:pPr>
              <w:pStyle w:val="TBodysubtotalText"/>
              <w:keepNext/>
            </w:pPr>
            <w:r>
              <w:t>Ergebnis nach Steuern</w:t>
            </w:r>
          </w:p>
        </w:tc>
        <w:tc>
          <w:tcPr>
            <w:tcW w:w="119" w:type="dxa"/>
            <w:noWrap/>
            <w:vAlign w:val="bottom"/>
          </w:tcPr>
          <w:p w14:paraId="1F94E4D2" w14:textId="77777777" w:rsidR="00E9166C" w:rsidRDefault="00E9166C" w:rsidP="00957225">
            <w:pPr>
              <w:pStyle w:val="TBodysubtotalNumber"/>
              <w:keepNext/>
            </w:pPr>
          </w:p>
        </w:tc>
        <w:tc>
          <w:tcPr>
            <w:tcW w:w="1021" w:type="dxa"/>
            <w:tcBorders>
              <w:top w:val="single" w:sz="4" w:space="0" w:color="A59C94"/>
              <w:bottom w:val="single" w:sz="4" w:space="0" w:color="000000"/>
            </w:tcBorders>
            <w:noWrap/>
            <w:vAlign w:val="bottom"/>
          </w:tcPr>
          <w:p w14:paraId="2E1B1D96" w14:textId="77777777" w:rsidR="00E9166C" w:rsidRDefault="00E9166C" w:rsidP="00957225">
            <w:pPr>
              <w:pStyle w:val="TBodysubtotalNumber"/>
              <w:keepNext/>
            </w:pPr>
            <w:bookmarkStart w:id="32" w:name="SNAMD_aa79c6ded87a49fb8c4eb0dcb40bac7a"/>
            <w:r>
              <w:t>118</w:t>
            </w:r>
            <w:bookmarkEnd w:id="32"/>
          </w:p>
        </w:tc>
        <w:tc>
          <w:tcPr>
            <w:tcW w:w="119" w:type="dxa"/>
            <w:noWrap/>
            <w:vAlign w:val="bottom"/>
          </w:tcPr>
          <w:p w14:paraId="614AE067" w14:textId="77777777" w:rsidR="00E9166C" w:rsidRDefault="00E9166C" w:rsidP="00957225">
            <w:pPr>
              <w:pStyle w:val="TBodysubtotalNumber"/>
              <w:keepNext/>
            </w:pPr>
          </w:p>
        </w:tc>
        <w:tc>
          <w:tcPr>
            <w:tcW w:w="1021" w:type="dxa"/>
            <w:tcBorders>
              <w:top w:val="single" w:sz="4" w:space="0" w:color="A59C94"/>
              <w:bottom w:val="single" w:sz="4" w:space="0" w:color="000000"/>
            </w:tcBorders>
            <w:shd w:val="clear" w:color="000000" w:fill="DAD5C9"/>
            <w:noWrap/>
            <w:vAlign w:val="bottom"/>
          </w:tcPr>
          <w:p w14:paraId="108FB240" w14:textId="77777777" w:rsidR="00E9166C" w:rsidRDefault="00E9166C" w:rsidP="00957225">
            <w:pPr>
              <w:pStyle w:val="TBodysubtotalNumber"/>
              <w:keepNext/>
            </w:pPr>
            <w:bookmarkStart w:id="33" w:name="SNAMD_838262112e5f41679ac5df5d958d5634"/>
            <w:r>
              <w:t>224</w:t>
            </w:r>
            <w:bookmarkEnd w:id="33"/>
          </w:p>
        </w:tc>
        <w:tc>
          <w:tcPr>
            <w:tcW w:w="119" w:type="dxa"/>
            <w:noWrap/>
            <w:vAlign w:val="bottom"/>
          </w:tcPr>
          <w:p w14:paraId="73B60B20" w14:textId="77777777" w:rsidR="00E9166C" w:rsidRDefault="00E9166C" w:rsidP="00957225">
            <w:pPr>
              <w:pStyle w:val="TBodysubtotalNumber"/>
              <w:keepNext/>
            </w:pPr>
          </w:p>
        </w:tc>
        <w:tc>
          <w:tcPr>
            <w:tcW w:w="1021" w:type="dxa"/>
            <w:tcBorders>
              <w:top w:val="single" w:sz="4" w:space="0" w:color="A59C94"/>
              <w:bottom w:val="single" w:sz="4" w:space="0" w:color="000000"/>
            </w:tcBorders>
            <w:noWrap/>
            <w:vAlign w:val="bottom"/>
          </w:tcPr>
          <w:p w14:paraId="29D5CE93" w14:textId="77777777" w:rsidR="00E9166C" w:rsidRDefault="00E9166C" w:rsidP="00957225">
            <w:pPr>
              <w:pStyle w:val="TBodysubtotalNumber"/>
              <w:keepNext/>
            </w:pPr>
            <w:bookmarkStart w:id="34" w:name="SNAMD_b64053fd27494948b7ee6d88a6f2b339"/>
            <w:r>
              <w:t>90</w:t>
            </w:r>
            <w:bookmarkEnd w:id="34"/>
          </w:p>
        </w:tc>
      </w:tr>
      <w:tr w:rsidR="00E9166C" w14:paraId="2F5713C3" w14:textId="77777777" w:rsidTr="00957225">
        <w:trPr>
          <w:trHeight w:val="340"/>
        </w:trPr>
        <w:tc>
          <w:tcPr>
            <w:tcW w:w="6332" w:type="dxa"/>
            <w:tcBorders>
              <w:top w:val="single" w:sz="4" w:space="0" w:color="000000"/>
              <w:bottom w:val="single" w:sz="4" w:space="0" w:color="A59C94"/>
            </w:tcBorders>
            <w:noWrap/>
            <w:vAlign w:val="bottom"/>
          </w:tcPr>
          <w:p w14:paraId="075EDFBC" w14:textId="77777777" w:rsidR="00E9166C" w:rsidRDefault="00E9166C" w:rsidP="00957225">
            <w:pPr>
              <w:pStyle w:val="TBodynormalText"/>
            </w:pPr>
            <w:r>
              <w:t>davon Ergebnis anderer Gesellschafter</w:t>
            </w:r>
          </w:p>
        </w:tc>
        <w:tc>
          <w:tcPr>
            <w:tcW w:w="119" w:type="dxa"/>
            <w:noWrap/>
            <w:vAlign w:val="bottom"/>
          </w:tcPr>
          <w:p w14:paraId="5DB9E5C5"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3FB0926E" w14:textId="77777777" w:rsidR="00E9166C" w:rsidRDefault="00E9166C" w:rsidP="00957225">
            <w:pPr>
              <w:pStyle w:val="TBodynormalNumber"/>
              <w:keepNext/>
            </w:pPr>
            <w:r>
              <w:t>4</w:t>
            </w:r>
          </w:p>
        </w:tc>
        <w:tc>
          <w:tcPr>
            <w:tcW w:w="119" w:type="dxa"/>
            <w:noWrap/>
            <w:vAlign w:val="bottom"/>
          </w:tcPr>
          <w:p w14:paraId="73EE53F5" w14:textId="77777777" w:rsidR="00E9166C" w:rsidRDefault="00E9166C"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1917E195" w14:textId="77777777" w:rsidR="00E9166C" w:rsidRDefault="00E9166C" w:rsidP="00957225">
            <w:pPr>
              <w:pStyle w:val="TBodynormalNumber"/>
              <w:keepNext/>
            </w:pPr>
            <w:bookmarkStart w:id="35" w:name="SNAMD_75219af005e341a489ad3b2b061076fa"/>
            <w:r>
              <w:t>6</w:t>
            </w:r>
            <w:bookmarkEnd w:id="35"/>
          </w:p>
        </w:tc>
        <w:tc>
          <w:tcPr>
            <w:tcW w:w="119" w:type="dxa"/>
            <w:noWrap/>
            <w:vAlign w:val="bottom"/>
          </w:tcPr>
          <w:p w14:paraId="4435C31B"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5D8AC291" w14:textId="77777777" w:rsidR="00E9166C" w:rsidRDefault="00E9166C" w:rsidP="00957225">
            <w:pPr>
              <w:pStyle w:val="TBodynormalNumber"/>
              <w:keepNext/>
            </w:pPr>
          </w:p>
        </w:tc>
      </w:tr>
      <w:tr w:rsidR="00E9166C" w14:paraId="59551B49" w14:textId="77777777" w:rsidTr="00957225">
        <w:tc>
          <w:tcPr>
            <w:tcW w:w="6332" w:type="dxa"/>
            <w:tcBorders>
              <w:top w:val="single" w:sz="4" w:space="0" w:color="A59C94"/>
              <w:bottom w:val="single" w:sz="4" w:space="0" w:color="000000"/>
            </w:tcBorders>
            <w:noWrap/>
            <w:vAlign w:val="bottom"/>
          </w:tcPr>
          <w:p w14:paraId="3A9DE693" w14:textId="77777777" w:rsidR="00E9166C" w:rsidRDefault="00E9166C" w:rsidP="00957225">
            <w:pPr>
              <w:pStyle w:val="TBodysubtotalText"/>
              <w:keepNext/>
            </w:pPr>
            <w:r>
              <w:t>Konzernergebnis</w:t>
            </w:r>
          </w:p>
        </w:tc>
        <w:tc>
          <w:tcPr>
            <w:tcW w:w="119" w:type="dxa"/>
            <w:noWrap/>
            <w:vAlign w:val="bottom"/>
          </w:tcPr>
          <w:p w14:paraId="56A35ADC" w14:textId="77777777" w:rsidR="00E9166C" w:rsidRDefault="00E9166C" w:rsidP="00957225">
            <w:pPr>
              <w:pStyle w:val="TBodysubtotalNumber"/>
              <w:keepNext/>
            </w:pPr>
          </w:p>
        </w:tc>
        <w:tc>
          <w:tcPr>
            <w:tcW w:w="1021" w:type="dxa"/>
            <w:tcBorders>
              <w:top w:val="single" w:sz="4" w:space="0" w:color="A59C94"/>
              <w:bottom w:val="single" w:sz="4" w:space="0" w:color="000000"/>
            </w:tcBorders>
            <w:noWrap/>
            <w:vAlign w:val="bottom"/>
          </w:tcPr>
          <w:p w14:paraId="53E1925F" w14:textId="77777777" w:rsidR="00E9166C" w:rsidRDefault="00E9166C" w:rsidP="00957225">
            <w:pPr>
              <w:pStyle w:val="TBodysubtotalNumber"/>
              <w:keepNext/>
            </w:pPr>
            <w:bookmarkStart w:id="36" w:name="SNAMD_b6a3c58f9d234fb295308a8c34d8889e"/>
            <w:r>
              <w:t>114</w:t>
            </w:r>
            <w:bookmarkEnd w:id="36"/>
          </w:p>
        </w:tc>
        <w:tc>
          <w:tcPr>
            <w:tcW w:w="119" w:type="dxa"/>
            <w:noWrap/>
            <w:vAlign w:val="bottom"/>
          </w:tcPr>
          <w:p w14:paraId="0FB9284C" w14:textId="77777777" w:rsidR="00E9166C" w:rsidRDefault="00E9166C" w:rsidP="00957225">
            <w:pPr>
              <w:pStyle w:val="TBodysubtotalNumber"/>
              <w:keepNext/>
            </w:pPr>
          </w:p>
        </w:tc>
        <w:tc>
          <w:tcPr>
            <w:tcW w:w="1021" w:type="dxa"/>
            <w:tcBorders>
              <w:top w:val="single" w:sz="4" w:space="0" w:color="A59C94"/>
              <w:bottom w:val="single" w:sz="4" w:space="0" w:color="000000"/>
            </w:tcBorders>
            <w:shd w:val="clear" w:color="000000" w:fill="DAD5C9"/>
            <w:noWrap/>
            <w:vAlign w:val="bottom"/>
          </w:tcPr>
          <w:p w14:paraId="4D4BA0A8" w14:textId="77777777" w:rsidR="00E9166C" w:rsidRDefault="00E9166C" w:rsidP="00957225">
            <w:pPr>
              <w:pStyle w:val="TBodysubtotalNumber"/>
              <w:keepNext/>
            </w:pPr>
            <w:bookmarkStart w:id="37" w:name="SNAMD_af872dfa4d8a4f00981b7491da839331"/>
            <w:r>
              <w:t>218</w:t>
            </w:r>
            <w:bookmarkEnd w:id="37"/>
          </w:p>
        </w:tc>
        <w:tc>
          <w:tcPr>
            <w:tcW w:w="119" w:type="dxa"/>
            <w:noWrap/>
            <w:vAlign w:val="bottom"/>
          </w:tcPr>
          <w:p w14:paraId="695F3DF2" w14:textId="77777777" w:rsidR="00E9166C" w:rsidRDefault="00E9166C" w:rsidP="00957225">
            <w:pPr>
              <w:pStyle w:val="TBodysubtotalNumber"/>
              <w:keepNext/>
            </w:pPr>
          </w:p>
        </w:tc>
        <w:tc>
          <w:tcPr>
            <w:tcW w:w="1021" w:type="dxa"/>
            <w:tcBorders>
              <w:top w:val="single" w:sz="4" w:space="0" w:color="A59C94"/>
              <w:bottom w:val="single" w:sz="4" w:space="0" w:color="000000"/>
            </w:tcBorders>
            <w:noWrap/>
            <w:vAlign w:val="bottom"/>
          </w:tcPr>
          <w:p w14:paraId="05D862DB" w14:textId="77777777" w:rsidR="00E9166C" w:rsidRDefault="00E9166C" w:rsidP="00957225">
            <w:pPr>
              <w:pStyle w:val="TBodysubtotalNumber"/>
              <w:keepNext/>
            </w:pPr>
            <w:bookmarkStart w:id="38" w:name="SNAMD_8f9dbd2736dc4ec88232b102a6c409f1"/>
            <w:r>
              <w:t>91</w:t>
            </w:r>
            <w:bookmarkEnd w:id="38"/>
          </w:p>
        </w:tc>
      </w:tr>
      <w:tr w:rsidR="00E9166C" w14:paraId="110B4F66" w14:textId="77777777" w:rsidTr="00957225">
        <w:trPr>
          <w:trHeight w:val="340"/>
        </w:trPr>
        <w:tc>
          <w:tcPr>
            <w:tcW w:w="6332" w:type="dxa"/>
            <w:tcBorders>
              <w:top w:val="single" w:sz="4" w:space="0" w:color="000000"/>
              <w:bottom w:val="single" w:sz="16" w:space="0" w:color="991D85"/>
            </w:tcBorders>
            <w:noWrap/>
            <w:vAlign w:val="bottom"/>
          </w:tcPr>
          <w:p w14:paraId="3104B469" w14:textId="77777777" w:rsidR="00E9166C" w:rsidRDefault="00E9166C" w:rsidP="00957225">
            <w:pPr>
              <w:pStyle w:val="TBodynormalText"/>
            </w:pPr>
            <w:r>
              <w:rPr>
                <w:b/>
              </w:rPr>
              <w:t>Bereinigtes Konzernergebnis</w:t>
            </w:r>
          </w:p>
        </w:tc>
        <w:tc>
          <w:tcPr>
            <w:tcW w:w="119" w:type="dxa"/>
            <w:tcBorders>
              <w:bottom w:val="single" w:sz="16" w:space="0" w:color="991D85"/>
            </w:tcBorders>
            <w:noWrap/>
            <w:vAlign w:val="bottom"/>
          </w:tcPr>
          <w:p w14:paraId="1C89E169" w14:textId="77777777" w:rsidR="00E9166C" w:rsidRDefault="00E9166C" w:rsidP="00957225">
            <w:pPr>
              <w:pStyle w:val="TBodynormalNumber"/>
              <w:keepNext/>
            </w:pPr>
          </w:p>
        </w:tc>
        <w:tc>
          <w:tcPr>
            <w:tcW w:w="1021" w:type="dxa"/>
            <w:tcBorders>
              <w:top w:val="single" w:sz="4" w:space="0" w:color="000000"/>
              <w:bottom w:val="single" w:sz="16" w:space="0" w:color="991D85"/>
            </w:tcBorders>
            <w:noWrap/>
            <w:vAlign w:val="bottom"/>
          </w:tcPr>
          <w:p w14:paraId="709934A3" w14:textId="77777777" w:rsidR="00E9166C" w:rsidRDefault="00E9166C" w:rsidP="00957225">
            <w:pPr>
              <w:pStyle w:val="TBodynormalNumber"/>
              <w:keepNext/>
            </w:pPr>
            <w:bookmarkStart w:id="39" w:name="SNAMD_1ceeab396fd249cca66eac75f9e8428c"/>
            <w:r>
              <w:rPr>
                <w:b/>
              </w:rPr>
              <w:t>160</w:t>
            </w:r>
            <w:bookmarkEnd w:id="39"/>
          </w:p>
        </w:tc>
        <w:tc>
          <w:tcPr>
            <w:tcW w:w="119" w:type="dxa"/>
            <w:tcBorders>
              <w:bottom w:val="single" w:sz="16" w:space="0" w:color="991D85"/>
            </w:tcBorders>
            <w:noWrap/>
            <w:vAlign w:val="bottom"/>
          </w:tcPr>
          <w:p w14:paraId="40853399" w14:textId="77777777" w:rsidR="00E9166C" w:rsidRDefault="00E9166C" w:rsidP="00957225">
            <w:pPr>
              <w:pStyle w:val="TBodynormalNumber"/>
              <w:keepNext/>
            </w:pPr>
          </w:p>
        </w:tc>
        <w:tc>
          <w:tcPr>
            <w:tcW w:w="1021" w:type="dxa"/>
            <w:tcBorders>
              <w:top w:val="single" w:sz="4" w:space="0" w:color="000000"/>
              <w:bottom w:val="single" w:sz="16" w:space="0" w:color="991D85"/>
            </w:tcBorders>
            <w:shd w:val="clear" w:color="000000" w:fill="DAD5C9"/>
            <w:noWrap/>
            <w:vAlign w:val="bottom"/>
          </w:tcPr>
          <w:p w14:paraId="51193B17" w14:textId="77777777" w:rsidR="00E9166C" w:rsidRDefault="00E9166C" w:rsidP="00957225">
            <w:pPr>
              <w:pStyle w:val="TBodynormalNumber"/>
              <w:keepNext/>
            </w:pPr>
            <w:bookmarkStart w:id="40" w:name="SNAMD_b7055c9b81624c67b7ff891979f0406f"/>
            <w:r>
              <w:rPr>
                <w:b/>
              </w:rPr>
              <w:t>253</w:t>
            </w:r>
            <w:bookmarkEnd w:id="40"/>
          </w:p>
        </w:tc>
        <w:tc>
          <w:tcPr>
            <w:tcW w:w="119" w:type="dxa"/>
            <w:tcBorders>
              <w:bottom w:val="single" w:sz="16" w:space="0" w:color="991D85"/>
            </w:tcBorders>
            <w:noWrap/>
            <w:vAlign w:val="bottom"/>
          </w:tcPr>
          <w:p w14:paraId="4FFCB846" w14:textId="77777777" w:rsidR="00E9166C" w:rsidRDefault="00E9166C" w:rsidP="00957225">
            <w:pPr>
              <w:pStyle w:val="TBodynormalNumber"/>
              <w:keepNext/>
            </w:pPr>
          </w:p>
        </w:tc>
        <w:tc>
          <w:tcPr>
            <w:tcW w:w="1021" w:type="dxa"/>
            <w:tcBorders>
              <w:top w:val="single" w:sz="4" w:space="0" w:color="000000"/>
              <w:bottom w:val="single" w:sz="16" w:space="0" w:color="991D85"/>
            </w:tcBorders>
            <w:noWrap/>
            <w:vAlign w:val="bottom"/>
          </w:tcPr>
          <w:p w14:paraId="2D3623E2" w14:textId="77777777" w:rsidR="00E9166C" w:rsidRDefault="00E9166C" w:rsidP="00957225">
            <w:pPr>
              <w:pStyle w:val="TBodynormalNumber"/>
              <w:keepNext/>
            </w:pPr>
            <w:bookmarkStart w:id="41" w:name="SNAMD_801ea40e180541928812289512686c62"/>
            <w:r>
              <w:rPr>
                <w:b/>
              </w:rPr>
              <w:t>58</w:t>
            </w:r>
            <w:bookmarkEnd w:id="41"/>
          </w:p>
        </w:tc>
      </w:tr>
      <w:bookmarkEnd w:id="4"/>
    </w:tbl>
    <w:p w14:paraId="79F1BBAA" w14:textId="77777777" w:rsidR="00E9166C" w:rsidRDefault="00E9166C" w:rsidP="00E9166C"/>
    <w:p w14:paraId="49B97121" w14:textId="77777777" w:rsidR="00E9166C" w:rsidRDefault="00E9166C" w:rsidP="00E9166C"/>
    <w:tbl>
      <w:tblPr>
        <w:tblW w:w="0" w:type="dxa"/>
        <w:tblLayout w:type="fixed"/>
        <w:tblCellMar>
          <w:left w:w="0" w:type="dxa"/>
          <w:right w:w="0" w:type="dxa"/>
        </w:tblCellMar>
        <w:tblLook w:val="0000" w:firstRow="0" w:lastRow="0" w:firstColumn="0" w:lastColumn="0" w:noHBand="0" w:noVBand="0"/>
        <w:tblDescription w:val="SNEID_6e64f76844f14505ba9918c7123c7ec0"/>
      </w:tblPr>
      <w:tblGrid>
        <w:gridCol w:w="2914"/>
        <w:gridCol w:w="119"/>
        <w:gridCol w:w="1021"/>
        <w:gridCol w:w="119"/>
        <w:gridCol w:w="1021"/>
        <w:gridCol w:w="119"/>
        <w:gridCol w:w="1021"/>
        <w:gridCol w:w="119"/>
        <w:gridCol w:w="1021"/>
        <w:gridCol w:w="119"/>
        <w:gridCol w:w="1021"/>
        <w:gridCol w:w="119"/>
        <w:gridCol w:w="1021"/>
      </w:tblGrid>
      <w:tr w:rsidR="00E9166C" w14:paraId="2C6AAA1B" w14:textId="77777777" w:rsidTr="00957225">
        <w:tc>
          <w:tcPr>
            <w:tcW w:w="9754" w:type="dxa"/>
            <w:gridSpan w:val="13"/>
            <w:vAlign w:val="bottom"/>
          </w:tcPr>
          <w:p w14:paraId="6A35C8F1" w14:textId="77777777" w:rsidR="00E9166C" w:rsidRPr="00250666" w:rsidRDefault="00E9166C" w:rsidP="00957225">
            <w:pPr>
              <w:pStyle w:val="TTitleText"/>
              <w:rPr>
                <w:lang w:val="de-DE"/>
              </w:rPr>
            </w:pPr>
            <w:bookmarkStart w:id="42" w:name="SNAMD_fc9e368d381746efa4a14ae59aa60c3c"/>
            <w:bookmarkStart w:id="43" w:name="SNEID_6e64f76844f14505ba9918c7123c7ec0"/>
            <w:r w:rsidRPr="00AB2025">
              <w:rPr>
                <w:lang w:val="de-DE"/>
              </w:rPr>
              <w:t>Entwicklung in den Divisionen – 2. Quartal</w:t>
            </w:r>
            <w:bookmarkEnd w:id="42"/>
          </w:p>
        </w:tc>
      </w:tr>
      <w:tr w:rsidR="00E9166C" w14:paraId="61B30990" w14:textId="77777777" w:rsidTr="00957225">
        <w:tc>
          <w:tcPr>
            <w:tcW w:w="2914" w:type="dxa"/>
            <w:tcBorders>
              <w:top w:val="single" w:sz="8" w:space="0" w:color="000000"/>
            </w:tcBorders>
            <w:vAlign w:val="bottom"/>
          </w:tcPr>
          <w:p w14:paraId="130C9E82" w14:textId="77777777" w:rsidR="00E9166C" w:rsidRPr="00250666" w:rsidRDefault="00E9166C" w:rsidP="00957225">
            <w:pPr>
              <w:pStyle w:val="TDummy"/>
              <w:keepNext/>
              <w:rPr>
                <w:lang w:val="de-DE"/>
              </w:rPr>
            </w:pPr>
          </w:p>
        </w:tc>
        <w:tc>
          <w:tcPr>
            <w:tcW w:w="119" w:type="dxa"/>
            <w:tcBorders>
              <w:top w:val="single" w:sz="8" w:space="0" w:color="000000"/>
            </w:tcBorders>
            <w:vAlign w:val="bottom"/>
          </w:tcPr>
          <w:p w14:paraId="6629ACC1" w14:textId="77777777" w:rsidR="00E9166C" w:rsidRPr="00250666" w:rsidRDefault="00E9166C" w:rsidP="00957225">
            <w:pPr>
              <w:pStyle w:val="TDummy"/>
              <w:keepNext/>
              <w:rPr>
                <w:lang w:val="de-DE"/>
              </w:rPr>
            </w:pPr>
          </w:p>
        </w:tc>
        <w:tc>
          <w:tcPr>
            <w:tcW w:w="1021" w:type="dxa"/>
            <w:tcBorders>
              <w:top w:val="single" w:sz="8" w:space="0" w:color="000000"/>
            </w:tcBorders>
            <w:vAlign w:val="bottom"/>
          </w:tcPr>
          <w:p w14:paraId="67D5458C" w14:textId="77777777" w:rsidR="00E9166C" w:rsidRPr="00250666" w:rsidRDefault="00E9166C" w:rsidP="00957225">
            <w:pPr>
              <w:pStyle w:val="TDummy"/>
              <w:keepNext/>
              <w:rPr>
                <w:lang w:val="de-DE"/>
              </w:rPr>
            </w:pPr>
          </w:p>
        </w:tc>
        <w:tc>
          <w:tcPr>
            <w:tcW w:w="119" w:type="dxa"/>
            <w:tcBorders>
              <w:top w:val="single" w:sz="8" w:space="0" w:color="000000"/>
            </w:tcBorders>
            <w:vAlign w:val="bottom"/>
          </w:tcPr>
          <w:p w14:paraId="7BD9F91A" w14:textId="77777777" w:rsidR="00E9166C" w:rsidRPr="00250666" w:rsidRDefault="00E9166C" w:rsidP="00957225">
            <w:pPr>
              <w:pStyle w:val="TDummy"/>
              <w:keepNext/>
              <w:rPr>
                <w:lang w:val="de-DE"/>
              </w:rPr>
            </w:pPr>
          </w:p>
        </w:tc>
        <w:tc>
          <w:tcPr>
            <w:tcW w:w="1021" w:type="dxa"/>
            <w:tcBorders>
              <w:top w:val="single" w:sz="8" w:space="0" w:color="000000"/>
            </w:tcBorders>
            <w:vAlign w:val="bottom"/>
          </w:tcPr>
          <w:p w14:paraId="74365433" w14:textId="77777777" w:rsidR="00E9166C" w:rsidRPr="00250666" w:rsidRDefault="00E9166C" w:rsidP="00957225">
            <w:pPr>
              <w:pStyle w:val="TDummy"/>
              <w:keepNext/>
              <w:rPr>
                <w:lang w:val="de-DE"/>
              </w:rPr>
            </w:pPr>
          </w:p>
        </w:tc>
        <w:tc>
          <w:tcPr>
            <w:tcW w:w="119" w:type="dxa"/>
            <w:tcBorders>
              <w:top w:val="single" w:sz="8" w:space="0" w:color="000000"/>
            </w:tcBorders>
            <w:vAlign w:val="bottom"/>
          </w:tcPr>
          <w:p w14:paraId="63492F2C" w14:textId="77777777" w:rsidR="00E9166C" w:rsidRPr="00250666" w:rsidRDefault="00E9166C" w:rsidP="00957225">
            <w:pPr>
              <w:pStyle w:val="TDummy"/>
              <w:keepNext/>
              <w:rPr>
                <w:lang w:val="de-DE"/>
              </w:rPr>
            </w:pPr>
          </w:p>
        </w:tc>
        <w:tc>
          <w:tcPr>
            <w:tcW w:w="1021" w:type="dxa"/>
            <w:tcBorders>
              <w:top w:val="single" w:sz="8" w:space="0" w:color="000000"/>
            </w:tcBorders>
            <w:vAlign w:val="bottom"/>
          </w:tcPr>
          <w:p w14:paraId="09A39490" w14:textId="77777777" w:rsidR="00E9166C" w:rsidRPr="00250666" w:rsidRDefault="00E9166C" w:rsidP="00957225">
            <w:pPr>
              <w:pStyle w:val="TDummy"/>
              <w:keepNext/>
              <w:rPr>
                <w:lang w:val="de-DE"/>
              </w:rPr>
            </w:pPr>
          </w:p>
        </w:tc>
        <w:tc>
          <w:tcPr>
            <w:tcW w:w="119" w:type="dxa"/>
            <w:tcBorders>
              <w:top w:val="single" w:sz="8" w:space="0" w:color="000000"/>
            </w:tcBorders>
            <w:vAlign w:val="bottom"/>
          </w:tcPr>
          <w:p w14:paraId="6387092A" w14:textId="77777777" w:rsidR="00E9166C" w:rsidRPr="00250666" w:rsidRDefault="00E9166C" w:rsidP="00957225">
            <w:pPr>
              <w:pStyle w:val="TDummy"/>
              <w:keepNext/>
              <w:rPr>
                <w:lang w:val="de-DE"/>
              </w:rPr>
            </w:pPr>
          </w:p>
        </w:tc>
        <w:tc>
          <w:tcPr>
            <w:tcW w:w="1021" w:type="dxa"/>
            <w:tcBorders>
              <w:top w:val="single" w:sz="8" w:space="0" w:color="000000"/>
            </w:tcBorders>
            <w:vAlign w:val="bottom"/>
          </w:tcPr>
          <w:p w14:paraId="4E777A95" w14:textId="77777777" w:rsidR="00E9166C" w:rsidRPr="00250666" w:rsidRDefault="00E9166C" w:rsidP="00957225">
            <w:pPr>
              <w:pStyle w:val="TDummy"/>
              <w:keepNext/>
              <w:rPr>
                <w:lang w:val="de-DE"/>
              </w:rPr>
            </w:pPr>
          </w:p>
        </w:tc>
        <w:tc>
          <w:tcPr>
            <w:tcW w:w="119" w:type="dxa"/>
            <w:tcBorders>
              <w:top w:val="single" w:sz="8" w:space="0" w:color="000000"/>
            </w:tcBorders>
            <w:vAlign w:val="bottom"/>
          </w:tcPr>
          <w:p w14:paraId="58A6764D" w14:textId="77777777" w:rsidR="00E9166C" w:rsidRPr="00250666" w:rsidRDefault="00E9166C" w:rsidP="00957225">
            <w:pPr>
              <w:pStyle w:val="TDummy"/>
              <w:keepNext/>
              <w:rPr>
                <w:lang w:val="de-DE"/>
              </w:rPr>
            </w:pPr>
          </w:p>
        </w:tc>
        <w:tc>
          <w:tcPr>
            <w:tcW w:w="1021" w:type="dxa"/>
            <w:tcBorders>
              <w:top w:val="single" w:sz="8" w:space="0" w:color="000000"/>
            </w:tcBorders>
            <w:vAlign w:val="bottom"/>
          </w:tcPr>
          <w:p w14:paraId="05154F74" w14:textId="77777777" w:rsidR="00E9166C" w:rsidRPr="00250666" w:rsidRDefault="00E9166C" w:rsidP="00957225">
            <w:pPr>
              <w:pStyle w:val="TDummy"/>
              <w:keepNext/>
              <w:rPr>
                <w:lang w:val="de-DE"/>
              </w:rPr>
            </w:pPr>
          </w:p>
        </w:tc>
        <w:tc>
          <w:tcPr>
            <w:tcW w:w="119" w:type="dxa"/>
            <w:tcBorders>
              <w:top w:val="single" w:sz="8" w:space="0" w:color="000000"/>
            </w:tcBorders>
            <w:vAlign w:val="bottom"/>
          </w:tcPr>
          <w:p w14:paraId="1D95C2B3" w14:textId="77777777" w:rsidR="00E9166C" w:rsidRPr="00250666" w:rsidRDefault="00E9166C" w:rsidP="00957225">
            <w:pPr>
              <w:pStyle w:val="TDummy"/>
              <w:keepNext/>
              <w:rPr>
                <w:lang w:val="de-DE"/>
              </w:rPr>
            </w:pPr>
          </w:p>
        </w:tc>
        <w:tc>
          <w:tcPr>
            <w:tcW w:w="1021" w:type="dxa"/>
            <w:tcBorders>
              <w:top w:val="single" w:sz="8" w:space="0" w:color="000000"/>
            </w:tcBorders>
            <w:vAlign w:val="bottom"/>
          </w:tcPr>
          <w:p w14:paraId="155B114A" w14:textId="77777777" w:rsidR="00E9166C" w:rsidRPr="00250666" w:rsidRDefault="00E9166C" w:rsidP="00957225">
            <w:pPr>
              <w:pStyle w:val="TDummy"/>
              <w:keepNext/>
              <w:rPr>
                <w:lang w:val="de-DE"/>
              </w:rPr>
            </w:pPr>
          </w:p>
        </w:tc>
      </w:tr>
      <w:tr w:rsidR="00E9166C" w14:paraId="46C655C3" w14:textId="77777777" w:rsidTr="00957225">
        <w:tc>
          <w:tcPr>
            <w:tcW w:w="2914" w:type="dxa"/>
            <w:shd w:val="clear" w:color="000000" w:fill="FFFFFF"/>
            <w:vAlign w:val="bottom"/>
          </w:tcPr>
          <w:p w14:paraId="2C82D6AB" w14:textId="77777777" w:rsidR="00E9166C" w:rsidRDefault="00E9166C" w:rsidP="00957225">
            <w:pPr>
              <w:pStyle w:val="THeadfirstNumber"/>
            </w:pPr>
          </w:p>
        </w:tc>
        <w:tc>
          <w:tcPr>
            <w:tcW w:w="119" w:type="dxa"/>
            <w:vAlign w:val="bottom"/>
          </w:tcPr>
          <w:p w14:paraId="3272338A" w14:textId="77777777" w:rsidR="00E9166C" w:rsidRDefault="00E9166C" w:rsidP="00957225">
            <w:pPr>
              <w:pStyle w:val="THeadfirstNumber"/>
            </w:pPr>
          </w:p>
        </w:tc>
        <w:tc>
          <w:tcPr>
            <w:tcW w:w="3301" w:type="dxa"/>
            <w:gridSpan w:val="5"/>
            <w:tcBorders>
              <w:bottom w:val="single" w:sz="4" w:space="0" w:color="A59C94"/>
            </w:tcBorders>
            <w:shd w:val="clear" w:color="000000" w:fill="FFFFFF"/>
            <w:vAlign w:val="bottom"/>
          </w:tcPr>
          <w:p w14:paraId="623011AB" w14:textId="77777777" w:rsidR="00E9166C" w:rsidRDefault="00E9166C" w:rsidP="00957225">
            <w:pPr>
              <w:pStyle w:val="THeadfirstNumber"/>
            </w:pPr>
            <w:r>
              <w:t>Umsatz</w:t>
            </w:r>
          </w:p>
        </w:tc>
        <w:tc>
          <w:tcPr>
            <w:tcW w:w="119" w:type="dxa"/>
            <w:vAlign w:val="bottom"/>
          </w:tcPr>
          <w:p w14:paraId="6922B379" w14:textId="77777777" w:rsidR="00E9166C" w:rsidRDefault="00E9166C" w:rsidP="00957225">
            <w:pPr>
              <w:pStyle w:val="THeadfirstNumber"/>
            </w:pPr>
          </w:p>
        </w:tc>
        <w:tc>
          <w:tcPr>
            <w:tcW w:w="3301" w:type="dxa"/>
            <w:gridSpan w:val="5"/>
            <w:tcBorders>
              <w:bottom w:val="single" w:sz="4" w:space="0" w:color="A59C94"/>
            </w:tcBorders>
            <w:shd w:val="clear" w:color="000000" w:fill="FFFFFF"/>
            <w:vAlign w:val="bottom"/>
          </w:tcPr>
          <w:p w14:paraId="734C0770" w14:textId="77777777" w:rsidR="00E9166C" w:rsidRDefault="00E9166C" w:rsidP="00957225">
            <w:pPr>
              <w:pStyle w:val="THeadfirstNumber"/>
            </w:pPr>
            <w:r>
              <w:t>Bereinigtes EBITDA</w:t>
            </w:r>
          </w:p>
        </w:tc>
      </w:tr>
      <w:tr w:rsidR="00E9166C" w14:paraId="2462BBEF" w14:textId="77777777" w:rsidTr="00957225">
        <w:tc>
          <w:tcPr>
            <w:tcW w:w="2914" w:type="dxa"/>
            <w:tcBorders>
              <w:bottom w:val="single" w:sz="4" w:space="0" w:color="000000"/>
            </w:tcBorders>
            <w:shd w:val="clear" w:color="000000" w:fill="FFFFFF"/>
            <w:vAlign w:val="bottom"/>
          </w:tcPr>
          <w:p w14:paraId="41D50044" w14:textId="77777777" w:rsidR="00E9166C" w:rsidRDefault="00E9166C" w:rsidP="00957225">
            <w:pPr>
              <w:pStyle w:val="THeadlastText"/>
            </w:pPr>
            <w:r>
              <w:t>in Millionen €</w:t>
            </w:r>
          </w:p>
        </w:tc>
        <w:tc>
          <w:tcPr>
            <w:tcW w:w="119" w:type="dxa"/>
            <w:vAlign w:val="bottom"/>
          </w:tcPr>
          <w:p w14:paraId="23781628"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50F6D41F" w14:textId="77777777" w:rsidR="00E9166C" w:rsidRDefault="00E9166C" w:rsidP="00957225">
            <w:pPr>
              <w:pStyle w:val="THeadlastNumber"/>
            </w:pPr>
            <w:r>
              <w:t>2020</w:t>
            </w:r>
          </w:p>
        </w:tc>
        <w:tc>
          <w:tcPr>
            <w:tcW w:w="119" w:type="dxa"/>
            <w:vAlign w:val="bottom"/>
          </w:tcPr>
          <w:p w14:paraId="28349011"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038797BF" w14:textId="77777777" w:rsidR="00E9166C" w:rsidRDefault="00E9166C" w:rsidP="00957225">
            <w:pPr>
              <w:pStyle w:val="THeadlastNumberbold"/>
            </w:pPr>
            <w:r>
              <w:t>2021</w:t>
            </w:r>
          </w:p>
        </w:tc>
        <w:tc>
          <w:tcPr>
            <w:tcW w:w="119" w:type="dxa"/>
            <w:vAlign w:val="bottom"/>
          </w:tcPr>
          <w:p w14:paraId="03D53D60"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26A04E30" w14:textId="77777777" w:rsidR="00E9166C" w:rsidRDefault="00E9166C" w:rsidP="00957225">
            <w:pPr>
              <w:pStyle w:val="THeaddifferenceNumber"/>
              <w:keepNext/>
            </w:pPr>
            <w:proofErr w:type="spellStart"/>
            <w:r>
              <w:t>Veränd</w:t>
            </w:r>
            <w:proofErr w:type="spellEnd"/>
            <w:r>
              <w:t>. in %</w:t>
            </w:r>
          </w:p>
        </w:tc>
        <w:tc>
          <w:tcPr>
            <w:tcW w:w="119" w:type="dxa"/>
            <w:vAlign w:val="bottom"/>
          </w:tcPr>
          <w:p w14:paraId="6EE457C2"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4907A2E4" w14:textId="77777777" w:rsidR="00E9166C" w:rsidRDefault="00E9166C" w:rsidP="00957225">
            <w:pPr>
              <w:pStyle w:val="THeadlastNumber"/>
            </w:pPr>
            <w:r>
              <w:t>2020</w:t>
            </w:r>
          </w:p>
        </w:tc>
        <w:tc>
          <w:tcPr>
            <w:tcW w:w="119" w:type="dxa"/>
            <w:vAlign w:val="bottom"/>
          </w:tcPr>
          <w:p w14:paraId="4500D095"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4B4EB01B" w14:textId="77777777" w:rsidR="00E9166C" w:rsidRDefault="00E9166C" w:rsidP="00957225">
            <w:pPr>
              <w:pStyle w:val="THeadlastNumberbold"/>
            </w:pPr>
            <w:r>
              <w:t>2021</w:t>
            </w:r>
          </w:p>
        </w:tc>
        <w:tc>
          <w:tcPr>
            <w:tcW w:w="119" w:type="dxa"/>
            <w:vAlign w:val="bottom"/>
          </w:tcPr>
          <w:p w14:paraId="24C6DCB1"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7C0D46D1" w14:textId="77777777" w:rsidR="00E9166C" w:rsidRDefault="00E9166C" w:rsidP="00957225">
            <w:pPr>
              <w:pStyle w:val="THeaddifferenceNumber"/>
              <w:keepNext/>
            </w:pPr>
            <w:proofErr w:type="spellStart"/>
            <w:r>
              <w:t>Veränd</w:t>
            </w:r>
            <w:proofErr w:type="spellEnd"/>
            <w:r>
              <w:t>. in %</w:t>
            </w:r>
          </w:p>
        </w:tc>
      </w:tr>
      <w:tr w:rsidR="00E9166C" w14:paraId="35EDE1FA" w14:textId="77777777" w:rsidTr="00957225">
        <w:tc>
          <w:tcPr>
            <w:tcW w:w="2914" w:type="dxa"/>
            <w:tcBorders>
              <w:top w:val="single" w:sz="4" w:space="0" w:color="000000"/>
              <w:bottom w:val="single" w:sz="4" w:space="0" w:color="A59C94"/>
            </w:tcBorders>
            <w:vAlign w:val="bottom"/>
          </w:tcPr>
          <w:p w14:paraId="7AD08AF9" w14:textId="77777777" w:rsidR="00E9166C" w:rsidRDefault="00E9166C" w:rsidP="00957225">
            <w:pPr>
              <w:pStyle w:val="TBodynormalText"/>
            </w:pPr>
            <w:r>
              <w:t>Specialty Additives</w:t>
            </w:r>
          </w:p>
        </w:tc>
        <w:tc>
          <w:tcPr>
            <w:tcW w:w="119" w:type="dxa"/>
            <w:vAlign w:val="bottom"/>
          </w:tcPr>
          <w:p w14:paraId="2D7079C7" w14:textId="77777777" w:rsidR="00E9166C" w:rsidRDefault="00E9166C" w:rsidP="00957225">
            <w:pPr>
              <w:pStyle w:val="TBodynormalNumber"/>
              <w:keepNext/>
            </w:pPr>
          </w:p>
        </w:tc>
        <w:tc>
          <w:tcPr>
            <w:tcW w:w="1021" w:type="dxa"/>
            <w:tcBorders>
              <w:top w:val="single" w:sz="4" w:space="0" w:color="000000"/>
              <w:bottom w:val="single" w:sz="4" w:space="0" w:color="A59C94"/>
            </w:tcBorders>
            <w:vAlign w:val="bottom"/>
          </w:tcPr>
          <w:p w14:paraId="4EFCA2EE" w14:textId="77777777" w:rsidR="00E9166C" w:rsidRDefault="00E9166C" w:rsidP="00957225">
            <w:pPr>
              <w:pStyle w:val="TBodynormalNumber"/>
              <w:keepNext/>
            </w:pPr>
            <w:bookmarkStart w:id="44" w:name="SNAMD_42fb06cc7c8c407db2410222a48045f0"/>
            <w:r>
              <w:t>747</w:t>
            </w:r>
            <w:bookmarkEnd w:id="44"/>
          </w:p>
        </w:tc>
        <w:tc>
          <w:tcPr>
            <w:tcW w:w="119" w:type="dxa"/>
            <w:vAlign w:val="bottom"/>
          </w:tcPr>
          <w:p w14:paraId="4D0363EB" w14:textId="77777777" w:rsidR="00E9166C" w:rsidRDefault="00E9166C" w:rsidP="00957225">
            <w:pPr>
              <w:pStyle w:val="TBodynormalNumber"/>
              <w:keepNext/>
            </w:pPr>
          </w:p>
        </w:tc>
        <w:tc>
          <w:tcPr>
            <w:tcW w:w="1021" w:type="dxa"/>
            <w:tcBorders>
              <w:top w:val="single" w:sz="4" w:space="0" w:color="000000"/>
              <w:bottom w:val="single" w:sz="4" w:space="0" w:color="A59C94"/>
            </w:tcBorders>
            <w:shd w:val="clear" w:color="000000" w:fill="DAD5C9"/>
            <w:vAlign w:val="bottom"/>
          </w:tcPr>
          <w:p w14:paraId="161D17F3" w14:textId="77777777" w:rsidR="00E9166C" w:rsidRDefault="00E9166C" w:rsidP="00957225">
            <w:pPr>
              <w:pStyle w:val="TBodynormalNumber"/>
              <w:keepNext/>
            </w:pPr>
            <w:bookmarkStart w:id="45" w:name="SNAMD_766ee987ae3d4201ab8eac96724607b1"/>
            <w:r>
              <w:t>922</w:t>
            </w:r>
            <w:bookmarkEnd w:id="45"/>
          </w:p>
        </w:tc>
        <w:tc>
          <w:tcPr>
            <w:tcW w:w="119" w:type="dxa"/>
            <w:vAlign w:val="bottom"/>
          </w:tcPr>
          <w:p w14:paraId="752C7621" w14:textId="77777777" w:rsidR="00E9166C" w:rsidRDefault="00E9166C" w:rsidP="00957225">
            <w:pPr>
              <w:pStyle w:val="TBodynormalNumber"/>
              <w:keepNext/>
            </w:pPr>
          </w:p>
        </w:tc>
        <w:tc>
          <w:tcPr>
            <w:tcW w:w="1021" w:type="dxa"/>
            <w:tcBorders>
              <w:top w:val="single" w:sz="4" w:space="0" w:color="000000"/>
              <w:bottom w:val="single" w:sz="4" w:space="0" w:color="A59C94"/>
            </w:tcBorders>
            <w:vAlign w:val="bottom"/>
          </w:tcPr>
          <w:p w14:paraId="45BCBA50" w14:textId="77777777" w:rsidR="00E9166C" w:rsidRDefault="00E9166C" w:rsidP="00957225">
            <w:pPr>
              <w:pStyle w:val="TBodynormalNumber"/>
              <w:keepNext/>
            </w:pPr>
            <w:bookmarkStart w:id="46" w:name="SNAMD_bd1e1d7c72bb4dadbcae1c66799cf17a"/>
            <w:r>
              <w:t>23</w:t>
            </w:r>
            <w:bookmarkEnd w:id="46"/>
          </w:p>
        </w:tc>
        <w:tc>
          <w:tcPr>
            <w:tcW w:w="119" w:type="dxa"/>
            <w:vAlign w:val="bottom"/>
          </w:tcPr>
          <w:p w14:paraId="74445F4F" w14:textId="77777777" w:rsidR="00E9166C" w:rsidRDefault="00E9166C" w:rsidP="00957225">
            <w:pPr>
              <w:pStyle w:val="TBodynormalNumber"/>
              <w:keepNext/>
            </w:pPr>
          </w:p>
        </w:tc>
        <w:tc>
          <w:tcPr>
            <w:tcW w:w="1021" w:type="dxa"/>
            <w:tcBorders>
              <w:top w:val="single" w:sz="4" w:space="0" w:color="000000"/>
              <w:bottom w:val="single" w:sz="4" w:space="0" w:color="A59C94"/>
            </w:tcBorders>
            <w:vAlign w:val="bottom"/>
          </w:tcPr>
          <w:p w14:paraId="7E094824" w14:textId="77777777" w:rsidR="00E9166C" w:rsidRDefault="00E9166C" w:rsidP="00957225">
            <w:pPr>
              <w:pStyle w:val="TBodynormalNumber"/>
              <w:keepNext/>
            </w:pPr>
            <w:bookmarkStart w:id="47" w:name="SNAMD_8528c407d43043b3af8cac35ddddd6a6"/>
            <w:r>
              <w:t>202</w:t>
            </w:r>
            <w:bookmarkEnd w:id="47"/>
          </w:p>
        </w:tc>
        <w:tc>
          <w:tcPr>
            <w:tcW w:w="119" w:type="dxa"/>
            <w:vAlign w:val="bottom"/>
          </w:tcPr>
          <w:p w14:paraId="45218364" w14:textId="77777777" w:rsidR="00E9166C" w:rsidRDefault="00E9166C" w:rsidP="00957225">
            <w:pPr>
              <w:pStyle w:val="TBodynormalNumber"/>
              <w:keepNext/>
            </w:pPr>
          </w:p>
        </w:tc>
        <w:tc>
          <w:tcPr>
            <w:tcW w:w="1021" w:type="dxa"/>
            <w:tcBorders>
              <w:top w:val="single" w:sz="4" w:space="0" w:color="000000"/>
              <w:bottom w:val="single" w:sz="4" w:space="0" w:color="A59C94"/>
            </w:tcBorders>
            <w:shd w:val="clear" w:color="000000" w:fill="DAD5C9"/>
            <w:vAlign w:val="bottom"/>
          </w:tcPr>
          <w:p w14:paraId="31BA65FA" w14:textId="77777777" w:rsidR="00E9166C" w:rsidRDefault="00E9166C" w:rsidP="00957225">
            <w:pPr>
              <w:pStyle w:val="TBodynormalNumber"/>
              <w:keepNext/>
            </w:pPr>
            <w:bookmarkStart w:id="48" w:name="SNAMD_87c292ea3d7745e08191e33d05c1b5a1"/>
            <w:r>
              <w:t>242</w:t>
            </w:r>
            <w:bookmarkEnd w:id="48"/>
          </w:p>
        </w:tc>
        <w:tc>
          <w:tcPr>
            <w:tcW w:w="119" w:type="dxa"/>
            <w:vAlign w:val="bottom"/>
          </w:tcPr>
          <w:p w14:paraId="56E6E8B5" w14:textId="77777777" w:rsidR="00E9166C" w:rsidRDefault="00E9166C" w:rsidP="00957225">
            <w:pPr>
              <w:pStyle w:val="TBodynormalNumber"/>
              <w:keepNext/>
            </w:pPr>
          </w:p>
        </w:tc>
        <w:tc>
          <w:tcPr>
            <w:tcW w:w="1021" w:type="dxa"/>
            <w:tcBorders>
              <w:top w:val="single" w:sz="4" w:space="0" w:color="000000"/>
              <w:bottom w:val="single" w:sz="4" w:space="0" w:color="A59C94"/>
            </w:tcBorders>
            <w:vAlign w:val="bottom"/>
          </w:tcPr>
          <w:p w14:paraId="737A4D21" w14:textId="77777777" w:rsidR="00E9166C" w:rsidRDefault="00E9166C" w:rsidP="00957225">
            <w:pPr>
              <w:pStyle w:val="TBodynormalNumber"/>
              <w:keepNext/>
            </w:pPr>
            <w:bookmarkStart w:id="49" w:name="SNAMD_4ff49c13f1594cf7bbd00f75090605da"/>
            <w:r>
              <w:t>20</w:t>
            </w:r>
            <w:bookmarkEnd w:id="49"/>
          </w:p>
        </w:tc>
      </w:tr>
      <w:tr w:rsidR="00E9166C" w14:paraId="064EF182" w14:textId="77777777" w:rsidTr="00957225">
        <w:tc>
          <w:tcPr>
            <w:tcW w:w="2914" w:type="dxa"/>
            <w:tcBorders>
              <w:top w:val="single" w:sz="4" w:space="0" w:color="A59C94"/>
              <w:bottom w:val="single" w:sz="4" w:space="0" w:color="A59C94"/>
            </w:tcBorders>
            <w:vAlign w:val="bottom"/>
          </w:tcPr>
          <w:p w14:paraId="0202F862" w14:textId="77777777" w:rsidR="00E9166C" w:rsidRDefault="00E9166C" w:rsidP="00957225">
            <w:pPr>
              <w:pStyle w:val="TBodynormalText"/>
            </w:pPr>
            <w:r>
              <w:t>Nutrition &amp; Care</w:t>
            </w:r>
          </w:p>
        </w:tc>
        <w:tc>
          <w:tcPr>
            <w:tcW w:w="119" w:type="dxa"/>
            <w:vAlign w:val="bottom"/>
          </w:tcPr>
          <w:p w14:paraId="46FF82CB"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5349929E" w14:textId="77777777" w:rsidR="00E9166C" w:rsidRDefault="00E9166C" w:rsidP="00957225">
            <w:pPr>
              <w:pStyle w:val="TBodynormalNumber"/>
              <w:keepNext/>
            </w:pPr>
            <w:bookmarkStart w:id="50" w:name="SNAMD_f6c692511a7d46638da6fcc14b6b39d6"/>
            <w:r>
              <w:t>742</w:t>
            </w:r>
            <w:bookmarkEnd w:id="50"/>
          </w:p>
        </w:tc>
        <w:tc>
          <w:tcPr>
            <w:tcW w:w="119" w:type="dxa"/>
            <w:vAlign w:val="bottom"/>
          </w:tcPr>
          <w:p w14:paraId="488AA551"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09F5002D" w14:textId="77777777" w:rsidR="00E9166C" w:rsidRDefault="00E9166C" w:rsidP="00957225">
            <w:pPr>
              <w:pStyle w:val="TBodynormalNumber"/>
              <w:keepNext/>
            </w:pPr>
            <w:bookmarkStart w:id="51" w:name="SNAMD_830f6c3bd8fd4a3f92f7007e8e640c79"/>
            <w:r>
              <w:t>838</w:t>
            </w:r>
            <w:bookmarkEnd w:id="51"/>
          </w:p>
        </w:tc>
        <w:tc>
          <w:tcPr>
            <w:tcW w:w="119" w:type="dxa"/>
            <w:vAlign w:val="bottom"/>
          </w:tcPr>
          <w:p w14:paraId="17147978"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0784B023" w14:textId="77777777" w:rsidR="00E9166C" w:rsidRDefault="00E9166C" w:rsidP="00957225">
            <w:pPr>
              <w:pStyle w:val="TBodynormalNumber"/>
              <w:keepNext/>
            </w:pPr>
            <w:bookmarkStart w:id="52" w:name="SNAMD_b0a1fabdeec644d689d3feefd5cae42d"/>
            <w:r>
              <w:t>13</w:t>
            </w:r>
            <w:bookmarkEnd w:id="52"/>
          </w:p>
        </w:tc>
        <w:tc>
          <w:tcPr>
            <w:tcW w:w="119" w:type="dxa"/>
            <w:vAlign w:val="bottom"/>
          </w:tcPr>
          <w:p w14:paraId="0865E365"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47D14167" w14:textId="77777777" w:rsidR="00E9166C" w:rsidRDefault="00E9166C" w:rsidP="00957225">
            <w:pPr>
              <w:pStyle w:val="TBodynormalNumber"/>
              <w:keepNext/>
            </w:pPr>
            <w:bookmarkStart w:id="53" w:name="SNAMD_98c4f9b8294c4c6890887eaa3e661b2c"/>
            <w:r>
              <w:t>168</w:t>
            </w:r>
            <w:bookmarkEnd w:id="53"/>
          </w:p>
        </w:tc>
        <w:tc>
          <w:tcPr>
            <w:tcW w:w="119" w:type="dxa"/>
            <w:vAlign w:val="bottom"/>
          </w:tcPr>
          <w:p w14:paraId="41C6F099"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0808F1CE" w14:textId="77777777" w:rsidR="00E9166C" w:rsidRDefault="00E9166C" w:rsidP="00957225">
            <w:pPr>
              <w:pStyle w:val="TBodynormalNumber"/>
              <w:keepNext/>
            </w:pPr>
            <w:bookmarkStart w:id="54" w:name="SNAMD_42c8a2c4bce5474293f6c0673d5b2711"/>
            <w:r>
              <w:t>183</w:t>
            </w:r>
            <w:bookmarkEnd w:id="54"/>
          </w:p>
        </w:tc>
        <w:tc>
          <w:tcPr>
            <w:tcW w:w="119" w:type="dxa"/>
            <w:vAlign w:val="bottom"/>
          </w:tcPr>
          <w:p w14:paraId="5A31259B"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2A7C86DF" w14:textId="77777777" w:rsidR="00E9166C" w:rsidRDefault="00E9166C" w:rsidP="00957225">
            <w:pPr>
              <w:pStyle w:val="TBodynormalNumber"/>
              <w:keepNext/>
            </w:pPr>
            <w:bookmarkStart w:id="55" w:name="SNAMD_a726e5c058c843b5b7f959470ee9f7ad"/>
            <w:r>
              <w:t>9</w:t>
            </w:r>
            <w:bookmarkEnd w:id="55"/>
          </w:p>
        </w:tc>
      </w:tr>
      <w:tr w:rsidR="00E9166C" w14:paraId="45718FFF" w14:textId="77777777" w:rsidTr="00957225">
        <w:tc>
          <w:tcPr>
            <w:tcW w:w="2914" w:type="dxa"/>
            <w:tcBorders>
              <w:top w:val="single" w:sz="4" w:space="0" w:color="A59C94"/>
              <w:bottom w:val="single" w:sz="4" w:space="0" w:color="A59C94"/>
            </w:tcBorders>
            <w:vAlign w:val="bottom"/>
          </w:tcPr>
          <w:p w14:paraId="1D93A933" w14:textId="77777777" w:rsidR="00E9166C" w:rsidRDefault="00E9166C" w:rsidP="00957225">
            <w:pPr>
              <w:pStyle w:val="TBodynormalText"/>
            </w:pPr>
            <w:r>
              <w:t>Smart Materials</w:t>
            </w:r>
          </w:p>
        </w:tc>
        <w:tc>
          <w:tcPr>
            <w:tcW w:w="119" w:type="dxa"/>
            <w:vAlign w:val="bottom"/>
          </w:tcPr>
          <w:p w14:paraId="44CEBA02"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49C2A635" w14:textId="77777777" w:rsidR="00E9166C" w:rsidRDefault="00E9166C" w:rsidP="00957225">
            <w:pPr>
              <w:pStyle w:val="TBodynormalNumber"/>
              <w:keepNext/>
            </w:pPr>
            <w:bookmarkStart w:id="56" w:name="SNAMD_6cdd0839a00b4471b535ac47313ca2e2"/>
            <w:r>
              <w:t>722</w:t>
            </w:r>
            <w:bookmarkEnd w:id="56"/>
          </w:p>
        </w:tc>
        <w:tc>
          <w:tcPr>
            <w:tcW w:w="119" w:type="dxa"/>
            <w:vAlign w:val="bottom"/>
          </w:tcPr>
          <w:p w14:paraId="4B6F2408"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01C62C83" w14:textId="77777777" w:rsidR="00E9166C" w:rsidRDefault="00E9166C" w:rsidP="00957225">
            <w:pPr>
              <w:pStyle w:val="TBodynormalNumber"/>
              <w:keepNext/>
            </w:pPr>
            <w:bookmarkStart w:id="57" w:name="SNAMD_27ab20ee3aa34d5cac29fa08ec01177e"/>
            <w:r>
              <w:t>975</w:t>
            </w:r>
            <w:bookmarkEnd w:id="57"/>
          </w:p>
        </w:tc>
        <w:tc>
          <w:tcPr>
            <w:tcW w:w="119" w:type="dxa"/>
            <w:vAlign w:val="bottom"/>
          </w:tcPr>
          <w:p w14:paraId="2AA65CC2"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4B4136AD" w14:textId="77777777" w:rsidR="00E9166C" w:rsidRDefault="00E9166C" w:rsidP="00957225">
            <w:pPr>
              <w:pStyle w:val="TBodynormalNumber"/>
              <w:keepNext/>
            </w:pPr>
            <w:bookmarkStart w:id="58" w:name="SNAMD_c20a70d6d36f4d9ba3d35e7be7d8612b"/>
            <w:r>
              <w:t>35</w:t>
            </w:r>
            <w:bookmarkEnd w:id="58"/>
          </w:p>
        </w:tc>
        <w:tc>
          <w:tcPr>
            <w:tcW w:w="119" w:type="dxa"/>
            <w:vAlign w:val="bottom"/>
          </w:tcPr>
          <w:p w14:paraId="1FDB5E2C"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3DB870DC" w14:textId="77777777" w:rsidR="00E9166C" w:rsidRDefault="00E9166C" w:rsidP="00957225">
            <w:pPr>
              <w:pStyle w:val="TBodynormalNumber"/>
              <w:keepNext/>
            </w:pPr>
            <w:bookmarkStart w:id="59" w:name="SNAMD_83d3605ff463409882d76bd92e849cea"/>
            <w:r>
              <w:t>102</w:t>
            </w:r>
            <w:bookmarkEnd w:id="59"/>
          </w:p>
        </w:tc>
        <w:tc>
          <w:tcPr>
            <w:tcW w:w="119" w:type="dxa"/>
            <w:vAlign w:val="bottom"/>
          </w:tcPr>
          <w:p w14:paraId="67CE8E92"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7A407165" w14:textId="77777777" w:rsidR="00E9166C" w:rsidRDefault="00E9166C" w:rsidP="00957225">
            <w:pPr>
              <w:pStyle w:val="TBodynormalNumber"/>
              <w:keepNext/>
            </w:pPr>
            <w:bookmarkStart w:id="60" w:name="SNAMD_7a88208c23084bb38dbbfeb039261915"/>
            <w:r>
              <w:t>176</w:t>
            </w:r>
            <w:bookmarkEnd w:id="60"/>
          </w:p>
        </w:tc>
        <w:tc>
          <w:tcPr>
            <w:tcW w:w="119" w:type="dxa"/>
            <w:vAlign w:val="bottom"/>
          </w:tcPr>
          <w:p w14:paraId="154B2149"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7E48AF14" w14:textId="77777777" w:rsidR="00E9166C" w:rsidRDefault="00E9166C" w:rsidP="00957225">
            <w:pPr>
              <w:pStyle w:val="TBodynormalNumber"/>
              <w:keepNext/>
            </w:pPr>
            <w:bookmarkStart w:id="61" w:name="SNAMD_3641fb0df416460c8b0b3393c81528c5"/>
            <w:r>
              <w:t>73</w:t>
            </w:r>
            <w:bookmarkEnd w:id="61"/>
          </w:p>
        </w:tc>
      </w:tr>
      <w:tr w:rsidR="00E9166C" w14:paraId="74F1A851" w14:textId="77777777" w:rsidTr="00957225">
        <w:tc>
          <w:tcPr>
            <w:tcW w:w="2914" w:type="dxa"/>
            <w:tcBorders>
              <w:top w:val="single" w:sz="4" w:space="0" w:color="A59C94"/>
              <w:bottom w:val="single" w:sz="4" w:space="0" w:color="A59C94"/>
            </w:tcBorders>
            <w:vAlign w:val="bottom"/>
          </w:tcPr>
          <w:p w14:paraId="30ADFBAF" w14:textId="77777777" w:rsidR="00E9166C" w:rsidRDefault="00E9166C" w:rsidP="00957225">
            <w:pPr>
              <w:pStyle w:val="TBodynormalText"/>
            </w:pPr>
            <w:r>
              <w:t>Performance Materials</w:t>
            </w:r>
          </w:p>
        </w:tc>
        <w:tc>
          <w:tcPr>
            <w:tcW w:w="119" w:type="dxa"/>
            <w:vAlign w:val="bottom"/>
          </w:tcPr>
          <w:p w14:paraId="1D9D3E72"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34715509" w14:textId="77777777" w:rsidR="00E9166C" w:rsidRDefault="00E9166C" w:rsidP="00957225">
            <w:pPr>
              <w:pStyle w:val="TBodynormalNumber"/>
              <w:keepNext/>
            </w:pPr>
            <w:bookmarkStart w:id="62" w:name="SNAMD_f744ae2b504b4be1a4cf6494046aff76"/>
            <w:r>
              <w:t>437</w:t>
            </w:r>
            <w:bookmarkEnd w:id="62"/>
          </w:p>
        </w:tc>
        <w:tc>
          <w:tcPr>
            <w:tcW w:w="119" w:type="dxa"/>
            <w:vAlign w:val="bottom"/>
          </w:tcPr>
          <w:p w14:paraId="7AD807E4"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4CB3BCEC" w14:textId="77777777" w:rsidR="00E9166C" w:rsidRDefault="00E9166C" w:rsidP="00957225">
            <w:pPr>
              <w:pStyle w:val="TBodynormalNumber"/>
              <w:keepNext/>
            </w:pPr>
            <w:bookmarkStart w:id="63" w:name="SNAMD_06f81214ef0548d99d1904f51026e64c"/>
            <w:r>
              <w:t>708</w:t>
            </w:r>
            <w:bookmarkEnd w:id="63"/>
          </w:p>
        </w:tc>
        <w:tc>
          <w:tcPr>
            <w:tcW w:w="119" w:type="dxa"/>
            <w:vAlign w:val="bottom"/>
          </w:tcPr>
          <w:p w14:paraId="266396C2"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559B4EF7" w14:textId="77777777" w:rsidR="00E9166C" w:rsidRDefault="00E9166C" w:rsidP="00957225">
            <w:pPr>
              <w:pStyle w:val="TBodynormalNumber"/>
              <w:keepNext/>
            </w:pPr>
            <w:bookmarkStart w:id="64" w:name="SNAMD_9a30b56c0e704c42bc7e27e62dde0815"/>
            <w:r>
              <w:t>62</w:t>
            </w:r>
            <w:bookmarkEnd w:id="64"/>
          </w:p>
        </w:tc>
        <w:tc>
          <w:tcPr>
            <w:tcW w:w="119" w:type="dxa"/>
            <w:vAlign w:val="bottom"/>
          </w:tcPr>
          <w:p w14:paraId="4231464D"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7762D960" w14:textId="77777777" w:rsidR="00E9166C" w:rsidRDefault="00E9166C" w:rsidP="00957225">
            <w:pPr>
              <w:pStyle w:val="TBodynormalNumber"/>
              <w:keepNext/>
            </w:pPr>
            <w:bookmarkStart w:id="65" w:name="SNAMD_a023b1f2203b4b499a5f901b125c7df2"/>
            <w:r>
              <w:t>12</w:t>
            </w:r>
            <w:bookmarkEnd w:id="65"/>
          </w:p>
        </w:tc>
        <w:tc>
          <w:tcPr>
            <w:tcW w:w="119" w:type="dxa"/>
            <w:vAlign w:val="bottom"/>
          </w:tcPr>
          <w:p w14:paraId="263A3D2D"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2349A038" w14:textId="77777777" w:rsidR="00E9166C" w:rsidRDefault="00E9166C" w:rsidP="00957225">
            <w:pPr>
              <w:pStyle w:val="TBodynormalNumber"/>
              <w:keepNext/>
            </w:pPr>
            <w:bookmarkStart w:id="66" w:name="SNAMD_85d3621e1e154e66872d6bf5d466ac6a"/>
            <w:r>
              <w:t>99</w:t>
            </w:r>
            <w:bookmarkEnd w:id="66"/>
          </w:p>
        </w:tc>
        <w:tc>
          <w:tcPr>
            <w:tcW w:w="119" w:type="dxa"/>
            <w:vAlign w:val="bottom"/>
          </w:tcPr>
          <w:p w14:paraId="5A945903"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0827ABAC" w14:textId="77777777" w:rsidR="00E9166C" w:rsidRDefault="00E9166C" w:rsidP="00957225">
            <w:pPr>
              <w:pStyle w:val="TBodynormalNumber"/>
              <w:keepNext/>
            </w:pPr>
            <w:bookmarkStart w:id="67" w:name="SNAMD_a1635dc947ce408c8adafabf102025a5"/>
            <w:r>
              <w:t>725</w:t>
            </w:r>
            <w:bookmarkEnd w:id="67"/>
          </w:p>
        </w:tc>
      </w:tr>
      <w:tr w:rsidR="00E9166C" w14:paraId="771A2FC9" w14:textId="77777777" w:rsidTr="00957225">
        <w:tc>
          <w:tcPr>
            <w:tcW w:w="2914" w:type="dxa"/>
            <w:tcBorders>
              <w:top w:val="single" w:sz="4" w:space="0" w:color="A59C94"/>
              <w:bottom w:val="single" w:sz="4" w:space="0" w:color="A59C94"/>
            </w:tcBorders>
            <w:vAlign w:val="bottom"/>
          </w:tcPr>
          <w:p w14:paraId="75D32C86" w14:textId="77777777" w:rsidR="00E9166C" w:rsidRDefault="00E9166C" w:rsidP="00957225">
            <w:pPr>
              <w:pStyle w:val="TBodynormalText"/>
            </w:pPr>
            <w:bookmarkStart w:id="68" w:name="SNAMD_94ad6bc58d5e47f296b43e7452fc03a0"/>
            <w:r>
              <w:t>Technology &amp; Infrastructure</w:t>
            </w:r>
            <w:bookmarkEnd w:id="68"/>
          </w:p>
        </w:tc>
        <w:tc>
          <w:tcPr>
            <w:tcW w:w="119" w:type="dxa"/>
            <w:vAlign w:val="bottom"/>
          </w:tcPr>
          <w:p w14:paraId="41600FAF"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1D4681EC" w14:textId="77777777" w:rsidR="00E9166C" w:rsidRDefault="00E9166C" w:rsidP="00957225">
            <w:pPr>
              <w:pStyle w:val="TBodynormalNumber"/>
              <w:keepNext/>
            </w:pPr>
            <w:bookmarkStart w:id="69" w:name="SNAMD_6c058ac409304c7090c682174ba525b8"/>
            <w:r>
              <w:t>161</w:t>
            </w:r>
            <w:bookmarkEnd w:id="69"/>
          </w:p>
        </w:tc>
        <w:tc>
          <w:tcPr>
            <w:tcW w:w="119" w:type="dxa"/>
            <w:vAlign w:val="bottom"/>
          </w:tcPr>
          <w:p w14:paraId="34F2E9F1"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660586A9" w14:textId="77777777" w:rsidR="00E9166C" w:rsidRDefault="00E9166C" w:rsidP="00957225">
            <w:pPr>
              <w:pStyle w:val="TBodynormalNumber"/>
              <w:keepNext/>
            </w:pPr>
            <w:bookmarkStart w:id="70" w:name="SNAMD_4543a3c2e2af41fbbe455dcdf5619ffb"/>
            <w:r>
              <w:t>179</w:t>
            </w:r>
            <w:bookmarkEnd w:id="70"/>
          </w:p>
        </w:tc>
        <w:tc>
          <w:tcPr>
            <w:tcW w:w="119" w:type="dxa"/>
            <w:vAlign w:val="bottom"/>
          </w:tcPr>
          <w:p w14:paraId="7D0BDF80"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4B8A3719" w14:textId="77777777" w:rsidR="00E9166C" w:rsidRDefault="00E9166C" w:rsidP="00957225">
            <w:pPr>
              <w:pStyle w:val="TBodynormalNumber"/>
              <w:keepNext/>
            </w:pPr>
            <w:bookmarkStart w:id="71" w:name="SNAMD_4ab719cc9513419db610471da1449b5c"/>
            <w:r>
              <w:t>11</w:t>
            </w:r>
            <w:bookmarkEnd w:id="71"/>
          </w:p>
        </w:tc>
        <w:tc>
          <w:tcPr>
            <w:tcW w:w="119" w:type="dxa"/>
            <w:vAlign w:val="bottom"/>
          </w:tcPr>
          <w:p w14:paraId="10708ED4"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49241F33" w14:textId="77777777" w:rsidR="00E9166C" w:rsidRDefault="00E9166C" w:rsidP="00957225">
            <w:pPr>
              <w:pStyle w:val="TBodynormalNumber"/>
              <w:keepNext/>
            </w:pPr>
            <w:bookmarkStart w:id="72" w:name="SNAMD_9c19783c0dd34076a71a775b786abe0a"/>
            <w:r>
              <w:t>39</w:t>
            </w:r>
            <w:bookmarkEnd w:id="72"/>
          </w:p>
        </w:tc>
        <w:tc>
          <w:tcPr>
            <w:tcW w:w="119" w:type="dxa"/>
            <w:vAlign w:val="bottom"/>
          </w:tcPr>
          <w:p w14:paraId="09CDCC9C"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372F316C" w14:textId="77777777" w:rsidR="00E9166C" w:rsidRDefault="00E9166C" w:rsidP="00957225">
            <w:pPr>
              <w:pStyle w:val="TBodynormalNumber"/>
              <w:keepNext/>
            </w:pPr>
            <w:bookmarkStart w:id="73" w:name="SNAMD_3378b730f7a64f30a87bb84b665d404c"/>
            <w:r>
              <w:t>26</w:t>
            </w:r>
            <w:bookmarkEnd w:id="73"/>
          </w:p>
        </w:tc>
        <w:tc>
          <w:tcPr>
            <w:tcW w:w="119" w:type="dxa"/>
            <w:vAlign w:val="bottom"/>
          </w:tcPr>
          <w:p w14:paraId="2887D148"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7D7470D9" w14:textId="77777777" w:rsidR="00E9166C" w:rsidRDefault="00E9166C" w:rsidP="00957225">
            <w:pPr>
              <w:pStyle w:val="TBodynormalNumber"/>
              <w:keepNext/>
            </w:pPr>
            <w:bookmarkStart w:id="74" w:name="SNAMD_fd5c783bb8144ec799b478a6319cae22"/>
            <w:r>
              <w:t>-33</w:t>
            </w:r>
            <w:bookmarkEnd w:id="74"/>
          </w:p>
        </w:tc>
      </w:tr>
      <w:tr w:rsidR="00E9166C" w14:paraId="75B928BB" w14:textId="77777777" w:rsidTr="00957225">
        <w:tc>
          <w:tcPr>
            <w:tcW w:w="2914" w:type="dxa"/>
            <w:tcBorders>
              <w:top w:val="single" w:sz="4" w:space="0" w:color="A59C94"/>
              <w:bottom w:val="single" w:sz="4" w:space="0" w:color="A59C94"/>
            </w:tcBorders>
            <w:vAlign w:val="bottom"/>
          </w:tcPr>
          <w:p w14:paraId="42A83512" w14:textId="77777777" w:rsidR="00E9166C" w:rsidRPr="00AB2025" w:rsidRDefault="00E9166C" w:rsidP="00957225">
            <w:pPr>
              <w:pStyle w:val="TBodynormalText"/>
              <w:rPr>
                <w:lang w:val="en-US"/>
              </w:rPr>
            </w:pPr>
            <w:bookmarkStart w:id="75" w:name="SNAMD_9230b97ecfcb4134a283795a63cee585"/>
            <w:r w:rsidRPr="00AB2025">
              <w:rPr>
                <w:lang w:val="en-US"/>
              </w:rPr>
              <w:t xml:space="preserve">Enabling Functions, Other Activities, </w:t>
            </w:r>
            <w:proofErr w:type="spellStart"/>
            <w:r w:rsidRPr="00AB2025">
              <w:rPr>
                <w:lang w:val="en-US"/>
              </w:rPr>
              <w:t>Konsolidierung</w:t>
            </w:r>
            <w:bookmarkEnd w:id="75"/>
            <w:proofErr w:type="spellEnd"/>
          </w:p>
        </w:tc>
        <w:tc>
          <w:tcPr>
            <w:tcW w:w="119" w:type="dxa"/>
            <w:vAlign w:val="bottom"/>
          </w:tcPr>
          <w:p w14:paraId="4A08C18A" w14:textId="77777777" w:rsidR="00E9166C" w:rsidRPr="00AB2025" w:rsidRDefault="00E9166C" w:rsidP="00957225">
            <w:pPr>
              <w:pStyle w:val="TBodynormalNumber"/>
              <w:keepNext/>
              <w:rPr>
                <w:lang w:val="en-US"/>
              </w:rPr>
            </w:pPr>
          </w:p>
        </w:tc>
        <w:tc>
          <w:tcPr>
            <w:tcW w:w="1021" w:type="dxa"/>
            <w:tcBorders>
              <w:top w:val="single" w:sz="4" w:space="0" w:color="A59C94"/>
              <w:bottom w:val="single" w:sz="4" w:space="0" w:color="A59C94"/>
            </w:tcBorders>
            <w:vAlign w:val="bottom"/>
          </w:tcPr>
          <w:p w14:paraId="4CF5A858" w14:textId="77777777" w:rsidR="00E9166C" w:rsidRDefault="00E9166C" w:rsidP="00957225">
            <w:pPr>
              <w:pStyle w:val="TBodynormalNumber"/>
              <w:keepNext/>
            </w:pPr>
            <w:bookmarkStart w:id="76" w:name="SNAMD_c6696503550b474fa37ba45b1b4ab1ae"/>
            <w:r>
              <w:t>18</w:t>
            </w:r>
            <w:bookmarkEnd w:id="76"/>
          </w:p>
        </w:tc>
        <w:tc>
          <w:tcPr>
            <w:tcW w:w="119" w:type="dxa"/>
            <w:vAlign w:val="bottom"/>
          </w:tcPr>
          <w:p w14:paraId="07481050"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72A68674" w14:textId="77777777" w:rsidR="00E9166C" w:rsidRDefault="00E9166C" w:rsidP="00957225">
            <w:pPr>
              <w:pStyle w:val="TBodynormalNumber"/>
              <w:keepNext/>
            </w:pPr>
            <w:bookmarkStart w:id="77" w:name="SNAMD_ca98f138f80a4a61aca7147a519460bd"/>
            <w:r>
              <w:t>14</w:t>
            </w:r>
            <w:bookmarkEnd w:id="77"/>
          </w:p>
        </w:tc>
        <w:tc>
          <w:tcPr>
            <w:tcW w:w="119" w:type="dxa"/>
            <w:vAlign w:val="bottom"/>
          </w:tcPr>
          <w:p w14:paraId="79811596"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682608A9" w14:textId="77777777" w:rsidR="00E9166C" w:rsidRDefault="00E9166C" w:rsidP="00957225">
            <w:pPr>
              <w:pStyle w:val="TBodynormalNumber"/>
              <w:keepNext/>
            </w:pPr>
            <w:bookmarkStart w:id="78" w:name="SNAMD_0ef405c68fde4591b9d0052d31314e27"/>
            <w:r>
              <w:t>-22</w:t>
            </w:r>
            <w:bookmarkEnd w:id="78"/>
          </w:p>
        </w:tc>
        <w:tc>
          <w:tcPr>
            <w:tcW w:w="119" w:type="dxa"/>
            <w:vAlign w:val="bottom"/>
          </w:tcPr>
          <w:p w14:paraId="16272E43"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78268545" w14:textId="77777777" w:rsidR="00E9166C" w:rsidRDefault="00E9166C" w:rsidP="00957225">
            <w:pPr>
              <w:pStyle w:val="TBodynormalNumber"/>
              <w:keepNext/>
            </w:pPr>
            <w:bookmarkStart w:id="79" w:name="SNAMD_04d78a8cbb874a268a12233d1628618d"/>
            <w:r>
              <w:t>-67</w:t>
            </w:r>
            <w:bookmarkEnd w:id="79"/>
          </w:p>
        </w:tc>
        <w:tc>
          <w:tcPr>
            <w:tcW w:w="119" w:type="dxa"/>
            <w:vAlign w:val="bottom"/>
          </w:tcPr>
          <w:p w14:paraId="78D3AC76"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6B8C2992" w14:textId="77777777" w:rsidR="00E9166C" w:rsidRDefault="00E9166C" w:rsidP="00957225">
            <w:pPr>
              <w:pStyle w:val="TBodynormalNumber"/>
              <w:keepNext/>
            </w:pPr>
            <w:bookmarkStart w:id="80" w:name="SNAMD_fb046d58a8a34ccd85e9c259e201069f"/>
            <w:r>
              <w:t>-77</w:t>
            </w:r>
            <w:bookmarkEnd w:id="80"/>
          </w:p>
        </w:tc>
        <w:tc>
          <w:tcPr>
            <w:tcW w:w="119" w:type="dxa"/>
            <w:vAlign w:val="bottom"/>
          </w:tcPr>
          <w:p w14:paraId="7B23A5DE"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219F4224" w14:textId="77777777" w:rsidR="00E9166C" w:rsidRDefault="00E9166C" w:rsidP="00957225">
            <w:pPr>
              <w:pStyle w:val="TBodynormalNumber"/>
              <w:keepNext/>
            </w:pPr>
            <w:bookmarkStart w:id="81" w:name="SNAMD_005ffda6b4c84cb193bcb0306f5d08f7"/>
            <w:r>
              <w:t>-15</w:t>
            </w:r>
            <w:bookmarkEnd w:id="81"/>
          </w:p>
        </w:tc>
      </w:tr>
      <w:tr w:rsidR="00E9166C" w14:paraId="663D7966" w14:textId="77777777" w:rsidTr="00957225">
        <w:tc>
          <w:tcPr>
            <w:tcW w:w="2914" w:type="dxa"/>
            <w:tcBorders>
              <w:top w:val="single" w:sz="4" w:space="0" w:color="A59C94"/>
              <w:bottom w:val="single" w:sz="16" w:space="0" w:color="991D85"/>
            </w:tcBorders>
            <w:vAlign w:val="bottom"/>
          </w:tcPr>
          <w:p w14:paraId="5B5C7CFA" w14:textId="77777777" w:rsidR="00E9166C" w:rsidRDefault="00E9166C" w:rsidP="00957225">
            <w:pPr>
              <w:pStyle w:val="TBodytotalText"/>
            </w:pPr>
            <w:r>
              <w:t>Konzern</w:t>
            </w:r>
          </w:p>
        </w:tc>
        <w:tc>
          <w:tcPr>
            <w:tcW w:w="119" w:type="dxa"/>
            <w:tcBorders>
              <w:bottom w:val="single" w:sz="16" w:space="0" w:color="991D85"/>
            </w:tcBorders>
            <w:vAlign w:val="bottom"/>
          </w:tcPr>
          <w:p w14:paraId="06336428" w14:textId="77777777" w:rsidR="00E9166C" w:rsidRDefault="00E9166C" w:rsidP="00957225">
            <w:pPr>
              <w:pStyle w:val="TBodytotalNumber"/>
            </w:pPr>
          </w:p>
        </w:tc>
        <w:tc>
          <w:tcPr>
            <w:tcW w:w="1021" w:type="dxa"/>
            <w:tcBorders>
              <w:top w:val="single" w:sz="4" w:space="0" w:color="A59C94"/>
              <w:bottom w:val="single" w:sz="16" w:space="0" w:color="991D85"/>
            </w:tcBorders>
            <w:vAlign w:val="bottom"/>
          </w:tcPr>
          <w:p w14:paraId="7C960421" w14:textId="77777777" w:rsidR="00E9166C" w:rsidRDefault="00E9166C" w:rsidP="00957225">
            <w:pPr>
              <w:pStyle w:val="TBodytotalNumber"/>
            </w:pPr>
            <w:bookmarkStart w:id="82" w:name="SNAMD_4d77ff5e29d043438311f72727e8de7a"/>
            <w:r>
              <w:t>2.827</w:t>
            </w:r>
            <w:bookmarkEnd w:id="82"/>
          </w:p>
        </w:tc>
        <w:tc>
          <w:tcPr>
            <w:tcW w:w="119" w:type="dxa"/>
            <w:tcBorders>
              <w:bottom w:val="single" w:sz="16" w:space="0" w:color="991D85"/>
            </w:tcBorders>
            <w:vAlign w:val="bottom"/>
          </w:tcPr>
          <w:p w14:paraId="22296FA2" w14:textId="77777777" w:rsidR="00E9166C" w:rsidRDefault="00E9166C" w:rsidP="00957225">
            <w:pPr>
              <w:pStyle w:val="TBodytotalNumber"/>
            </w:pPr>
          </w:p>
        </w:tc>
        <w:tc>
          <w:tcPr>
            <w:tcW w:w="1021" w:type="dxa"/>
            <w:tcBorders>
              <w:top w:val="single" w:sz="4" w:space="0" w:color="A59C94"/>
              <w:bottom w:val="single" w:sz="16" w:space="0" w:color="991D85"/>
            </w:tcBorders>
            <w:shd w:val="clear" w:color="000000" w:fill="DAD5C9"/>
            <w:vAlign w:val="bottom"/>
          </w:tcPr>
          <w:p w14:paraId="2AAC6741" w14:textId="77777777" w:rsidR="00E9166C" w:rsidRDefault="00E9166C" w:rsidP="00957225">
            <w:pPr>
              <w:pStyle w:val="TBodytotalNumber"/>
            </w:pPr>
            <w:bookmarkStart w:id="83" w:name="SNAMD_2464ec4d81bb48d499160e61d2ced030"/>
            <w:r>
              <w:t>3.636</w:t>
            </w:r>
            <w:bookmarkEnd w:id="83"/>
          </w:p>
        </w:tc>
        <w:tc>
          <w:tcPr>
            <w:tcW w:w="119" w:type="dxa"/>
            <w:tcBorders>
              <w:bottom w:val="single" w:sz="16" w:space="0" w:color="991D85"/>
            </w:tcBorders>
            <w:vAlign w:val="bottom"/>
          </w:tcPr>
          <w:p w14:paraId="3301F471" w14:textId="77777777" w:rsidR="00E9166C" w:rsidRDefault="00E9166C" w:rsidP="00957225">
            <w:pPr>
              <w:pStyle w:val="TBodytotalNumber"/>
            </w:pPr>
          </w:p>
        </w:tc>
        <w:tc>
          <w:tcPr>
            <w:tcW w:w="1021" w:type="dxa"/>
            <w:tcBorders>
              <w:top w:val="single" w:sz="4" w:space="0" w:color="A59C94"/>
              <w:bottom w:val="single" w:sz="16" w:space="0" w:color="991D85"/>
            </w:tcBorders>
            <w:vAlign w:val="bottom"/>
          </w:tcPr>
          <w:p w14:paraId="6D0B65FE" w14:textId="77777777" w:rsidR="00E9166C" w:rsidRDefault="00E9166C" w:rsidP="00957225">
            <w:pPr>
              <w:pStyle w:val="TBodytotalNumber"/>
            </w:pPr>
            <w:bookmarkStart w:id="84" w:name="SNAMD_5e7c0097d65043e1af3b2b4c3409c444"/>
            <w:r>
              <w:t>29</w:t>
            </w:r>
            <w:bookmarkEnd w:id="84"/>
          </w:p>
        </w:tc>
        <w:tc>
          <w:tcPr>
            <w:tcW w:w="119" w:type="dxa"/>
            <w:tcBorders>
              <w:bottom w:val="single" w:sz="16" w:space="0" w:color="991D85"/>
            </w:tcBorders>
            <w:vAlign w:val="bottom"/>
          </w:tcPr>
          <w:p w14:paraId="6954C465" w14:textId="77777777" w:rsidR="00E9166C" w:rsidRDefault="00E9166C" w:rsidP="00957225">
            <w:pPr>
              <w:pStyle w:val="TBodytotalNumber"/>
            </w:pPr>
          </w:p>
        </w:tc>
        <w:tc>
          <w:tcPr>
            <w:tcW w:w="1021" w:type="dxa"/>
            <w:tcBorders>
              <w:top w:val="single" w:sz="4" w:space="0" w:color="A59C94"/>
              <w:bottom w:val="single" w:sz="16" w:space="0" w:color="991D85"/>
            </w:tcBorders>
            <w:vAlign w:val="bottom"/>
          </w:tcPr>
          <w:p w14:paraId="73FF5218" w14:textId="77777777" w:rsidR="00E9166C" w:rsidRDefault="00E9166C" w:rsidP="00957225">
            <w:pPr>
              <w:pStyle w:val="TBodytotalNumber"/>
            </w:pPr>
            <w:bookmarkStart w:id="85" w:name="SNAMD_00648ea5a7b6425c8646100ded9c3608"/>
            <w:r>
              <w:t>456</w:t>
            </w:r>
            <w:bookmarkEnd w:id="85"/>
          </w:p>
        </w:tc>
        <w:tc>
          <w:tcPr>
            <w:tcW w:w="119" w:type="dxa"/>
            <w:tcBorders>
              <w:bottom w:val="single" w:sz="16" w:space="0" w:color="991D85"/>
            </w:tcBorders>
            <w:vAlign w:val="bottom"/>
          </w:tcPr>
          <w:p w14:paraId="24FD6924" w14:textId="77777777" w:rsidR="00E9166C" w:rsidRDefault="00E9166C" w:rsidP="00957225">
            <w:pPr>
              <w:pStyle w:val="TBodytotalNumber"/>
            </w:pPr>
          </w:p>
        </w:tc>
        <w:tc>
          <w:tcPr>
            <w:tcW w:w="1021" w:type="dxa"/>
            <w:tcBorders>
              <w:top w:val="single" w:sz="4" w:space="0" w:color="A59C94"/>
              <w:bottom w:val="single" w:sz="16" w:space="0" w:color="991D85"/>
            </w:tcBorders>
            <w:shd w:val="clear" w:color="000000" w:fill="DAD5C9"/>
            <w:vAlign w:val="bottom"/>
          </w:tcPr>
          <w:p w14:paraId="28B75ED3" w14:textId="77777777" w:rsidR="00E9166C" w:rsidRDefault="00E9166C" w:rsidP="00957225">
            <w:pPr>
              <w:pStyle w:val="TBodytotalNumber"/>
            </w:pPr>
            <w:bookmarkStart w:id="86" w:name="SNAMD_9acd3a7b1cf94d24b1e6140fb33f9d88"/>
            <w:r>
              <w:t>649</w:t>
            </w:r>
            <w:bookmarkEnd w:id="86"/>
          </w:p>
        </w:tc>
        <w:tc>
          <w:tcPr>
            <w:tcW w:w="119" w:type="dxa"/>
            <w:tcBorders>
              <w:bottom w:val="single" w:sz="16" w:space="0" w:color="991D85"/>
            </w:tcBorders>
            <w:vAlign w:val="bottom"/>
          </w:tcPr>
          <w:p w14:paraId="1DBD88D7" w14:textId="77777777" w:rsidR="00E9166C" w:rsidRDefault="00E9166C" w:rsidP="00957225">
            <w:pPr>
              <w:pStyle w:val="TBodytotalNumber"/>
            </w:pPr>
          </w:p>
        </w:tc>
        <w:tc>
          <w:tcPr>
            <w:tcW w:w="1021" w:type="dxa"/>
            <w:tcBorders>
              <w:top w:val="single" w:sz="4" w:space="0" w:color="A59C94"/>
              <w:bottom w:val="single" w:sz="16" w:space="0" w:color="991D85"/>
            </w:tcBorders>
            <w:vAlign w:val="bottom"/>
          </w:tcPr>
          <w:p w14:paraId="0B375ED3" w14:textId="77777777" w:rsidR="00E9166C" w:rsidRDefault="00E9166C" w:rsidP="00957225">
            <w:pPr>
              <w:pStyle w:val="TBodytotalNumber"/>
            </w:pPr>
            <w:bookmarkStart w:id="87" w:name="SNAMD_1b2d54d22d6f45d394cb5daf0957cb09"/>
            <w:r>
              <w:t>42</w:t>
            </w:r>
            <w:bookmarkEnd w:id="87"/>
          </w:p>
        </w:tc>
      </w:tr>
      <w:bookmarkEnd w:id="43"/>
    </w:tbl>
    <w:p w14:paraId="5F673976" w14:textId="77777777" w:rsidR="00E9166C" w:rsidRDefault="00E9166C" w:rsidP="00E9166C"/>
    <w:tbl>
      <w:tblPr>
        <w:tblW w:w="9752" w:type="dxa"/>
        <w:tblLayout w:type="fixed"/>
        <w:tblCellMar>
          <w:left w:w="0" w:type="dxa"/>
          <w:right w:w="0" w:type="dxa"/>
        </w:tblCellMar>
        <w:tblLook w:val="04A0" w:firstRow="1" w:lastRow="0" w:firstColumn="1" w:lastColumn="0" w:noHBand="0" w:noVBand="1"/>
        <w:tblCaption w:val="Pressemitteilung - Tabellen de!outarea_halbjahr"/>
        <w:tblDescription w:val="SNEID_19fdc2d688ec4d81a4b16527ed5bda47"/>
      </w:tblPr>
      <w:tblGrid>
        <w:gridCol w:w="2912"/>
        <w:gridCol w:w="119"/>
        <w:gridCol w:w="1021"/>
        <w:gridCol w:w="119"/>
        <w:gridCol w:w="1021"/>
        <w:gridCol w:w="119"/>
        <w:gridCol w:w="1021"/>
        <w:gridCol w:w="119"/>
        <w:gridCol w:w="1021"/>
        <w:gridCol w:w="119"/>
        <w:gridCol w:w="1021"/>
        <w:gridCol w:w="119"/>
        <w:gridCol w:w="1021"/>
      </w:tblGrid>
      <w:tr w:rsidR="00E9166C" w14:paraId="227EAFB2" w14:textId="77777777" w:rsidTr="00957225">
        <w:tc>
          <w:tcPr>
            <w:tcW w:w="9752" w:type="dxa"/>
            <w:gridSpan w:val="13"/>
            <w:noWrap/>
            <w:vAlign w:val="bottom"/>
          </w:tcPr>
          <w:p w14:paraId="161443EE" w14:textId="77777777" w:rsidR="00E9166C" w:rsidRPr="00324B91" w:rsidRDefault="00E9166C" w:rsidP="00957225">
            <w:pPr>
              <w:pStyle w:val="TTitleText"/>
              <w:rPr>
                <w:lang w:val="de-DE"/>
              </w:rPr>
            </w:pPr>
            <w:bookmarkStart w:id="88" w:name="SNEID_19fdc2d688ec4d81a4b16527ed5bda47"/>
            <w:r w:rsidRPr="00324B91">
              <w:rPr>
                <w:lang w:val="de-DE"/>
              </w:rPr>
              <w:t>Entwicklung in den Segmenten – 1. Halbjahr</w:t>
            </w:r>
          </w:p>
        </w:tc>
      </w:tr>
      <w:tr w:rsidR="00E9166C" w14:paraId="7F4B9778" w14:textId="77777777" w:rsidTr="00957225">
        <w:tc>
          <w:tcPr>
            <w:tcW w:w="2912" w:type="dxa"/>
            <w:tcBorders>
              <w:top w:val="single" w:sz="8" w:space="0" w:color="000000"/>
            </w:tcBorders>
            <w:noWrap/>
            <w:vAlign w:val="bottom"/>
          </w:tcPr>
          <w:p w14:paraId="7126F5E9" w14:textId="77777777" w:rsidR="00E9166C" w:rsidRPr="00324B91" w:rsidRDefault="00E9166C" w:rsidP="00957225">
            <w:pPr>
              <w:pStyle w:val="TDummy"/>
              <w:keepNext/>
              <w:rPr>
                <w:lang w:val="de-DE"/>
              </w:rPr>
            </w:pPr>
          </w:p>
        </w:tc>
        <w:tc>
          <w:tcPr>
            <w:tcW w:w="119" w:type="dxa"/>
            <w:tcBorders>
              <w:top w:val="single" w:sz="8" w:space="0" w:color="000000"/>
            </w:tcBorders>
            <w:noWrap/>
            <w:vAlign w:val="bottom"/>
          </w:tcPr>
          <w:p w14:paraId="7EB4D8F6" w14:textId="77777777" w:rsidR="00E9166C" w:rsidRPr="00324B91" w:rsidRDefault="00E9166C" w:rsidP="00957225">
            <w:pPr>
              <w:pStyle w:val="TDummy"/>
              <w:keepNext/>
              <w:rPr>
                <w:lang w:val="de-DE"/>
              </w:rPr>
            </w:pPr>
          </w:p>
        </w:tc>
        <w:tc>
          <w:tcPr>
            <w:tcW w:w="1021" w:type="dxa"/>
            <w:tcBorders>
              <w:top w:val="single" w:sz="8" w:space="0" w:color="000000"/>
            </w:tcBorders>
            <w:noWrap/>
            <w:vAlign w:val="bottom"/>
          </w:tcPr>
          <w:p w14:paraId="7AF4562A" w14:textId="77777777" w:rsidR="00E9166C" w:rsidRPr="00324B91" w:rsidRDefault="00E9166C" w:rsidP="00957225">
            <w:pPr>
              <w:pStyle w:val="TDummy"/>
              <w:keepNext/>
              <w:rPr>
                <w:lang w:val="de-DE"/>
              </w:rPr>
            </w:pPr>
          </w:p>
        </w:tc>
        <w:tc>
          <w:tcPr>
            <w:tcW w:w="119" w:type="dxa"/>
            <w:tcBorders>
              <w:top w:val="single" w:sz="8" w:space="0" w:color="000000"/>
            </w:tcBorders>
            <w:noWrap/>
            <w:vAlign w:val="bottom"/>
          </w:tcPr>
          <w:p w14:paraId="0A9A92C1" w14:textId="77777777" w:rsidR="00E9166C" w:rsidRPr="00324B91" w:rsidRDefault="00E9166C" w:rsidP="00957225">
            <w:pPr>
              <w:pStyle w:val="TDummy"/>
              <w:keepNext/>
              <w:rPr>
                <w:lang w:val="de-DE"/>
              </w:rPr>
            </w:pPr>
          </w:p>
        </w:tc>
        <w:tc>
          <w:tcPr>
            <w:tcW w:w="1021" w:type="dxa"/>
            <w:tcBorders>
              <w:top w:val="single" w:sz="8" w:space="0" w:color="000000"/>
            </w:tcBorders>
            <w:noWrap/>
            <w:vAlign w:val="bottom"/>
          </w:tcPr>
          <w:p w14:paraId="66FCB593" w14:textId="77777777" w:rsidR="00E9166C" w:rsidRPr="00324B91" w:rsidRDefault="00E9166C" w:rsidP="00957225">
            <w:pPr>
              <w:pStyle w:val="TDummy"/>
              <w:keepNext/>
              <w:rPr>
                <w:lang w:val="de-DE"/>
              </w:rPr>
            </w:pPr>
          </w:p>
        </w:tc>
        <w:tc>
          <w:tcPr>
            <w:tcW w:w="119" w:type="dxa"/>
            <w:tcBorders>
              <w:top w:val="single" w:sz="8" w:space="0" w:color="000000"/>
            </w:tcBorders>
            <w:noWrap/>
            <w:vAlign w:val="bottom"/>
          </w:tcPr>
          <w:p w14:paraId="07CEC2D7" w14:textId="77777777" w:rsidR="00E9166C" w:rsidRPr="00324B91" w:rsidRDefault="00E9166C" w:rsidP="00957225">
            <w:pPr>
              <w:pStyle w:val="TDummy"/>
              <w:keepNext/>
              <w:rPr>
                <w:lang w:val="de-DE"/>
              </w:rPr>
            </w:pPr>
          </w:p>
        </w:tc>
        <w:tc>
          <w:tcPr>
            <w:tcW w:w="1021" w:type="dxa"/>
            <w:tcBorders>
              <w:top w:val="single" w:sz="8" w:space="0" w:color="000000"/>
            </w:tcBorders>
            <w:noWrap/>
            <w:vAlign w:val="bottom"/>
          </w:tcPr>
          <w:p w14:paraId="22155DF1" w14:textId="77777777" w:rsidR="00E9166C" w:rsidRPr="00324B91" w:rsidRDefault="00E9166C" w:rsidP="00957225">
            <w:pPr>
              <w:pStyle w:val="TDummy"/>
              <w:keepNext/>
              <w:rPr>
                <w:lang w:val="de-DE"/>
              </w:rPr>
            </w:pPr>
          </w:p>
        </w:tc>
        <w:tc>
          <w:tcPr>
            <w:tcW w:w="119" w:type="dxa"/>
            <w:tcBorders>
              <w:top w:val="single" w:sz="8" w:space="0" w:color="000000"/>
            </w:tcBorders>
            <w:noWrap/>
            <w:vAlign w:val="bottom"/>
          </w:tcPr>
          <w:p w14:paraId="28C1A3FE" w14:textId="77777777" w:rsidR="00E9166C" w:rsidRPr="00324B91" w:rsidRDefault="00E9166C" w:rsidP="00957225">
            <w:pPr>
              <w:pStyle w:val="TDummy"/>
              <w:keepNext/>
              <w:rPr>
                <w:lang w:val="de-DE"/>
              </w:rPr>
            </w:pPr>
          </w:p>
        </w:tc>
        <w:tc>
          <w:tcPr>
            <w:tcW w:w="1021" w:type="dxa"/>
            <w:tcBorders>
              <w:top w:val="single" w:sz="8" w:space="0" w:color="000000"/>
            </w:tcBorders>
            <w:noWrap/>
            <w:vAlign w:val="bottom"/>
          </w:tcPr>
          <w:p w14:paraId="27BD1F04" w14:textId="77777777" w:rsidR="00E9166C" w:rsidRPr="00324B91" w:rsidRDefault="00E9166C" w:rsidP="00957225">
            <w:pPr>
              <w:pStyle w:val="TDummy"/>
              <w:keepNext/>
              <w:rPr>
                <w:lang w:val="de-DE"/>
              </w:rPr>
            </w:pPr>
          </w:p>
        </w:tc>
        <w:tc>
          <w:tcPr>
            <w:tcW w:w="119" w:type="dxa"/>
            <w:tcBorders>
              <w:top w:val="single" w:sz="8" w:space="0" w:color="000000"/>
            </w:tcBorders>
            <w:noWrap/>
            <w:vAlign w:val="bottom"/>
          </w:tcPr>
          <w:p w14:paraId="1D5BAAD5" w14:textId="77777777" w:rsidR="00E9166C" w:rsidRPr="00324B91" w:rsidRDefault="00E9166C" w:rsidP="00957225">
            <w:pPr>
              <w:pStyle w:val="TDummy"/>
              <w:keepNext/>
              <w:rPr>
                <w:lang w:val="de-DE"/>
              </w:rPr>
            </w:pPr>
          </w:p>
        </w:tc>
        <w:tc>
          <w:tcPr>
            <w:tcW w:w="1021" w:type="dxa"/>
            <w:tcBorders>
              <w:top w:val="single" w:sz="8" w:space="0" w:color="000000"/>
            </w:tcBorders>
            <w:noWrap/>
            <w:vAlign w:val="bottom"/>
          </w:tcPr>
          <w:p w14:paraId="60B560B4" w14:textId="77777777" w:rsidR="00E9166C" w:rsidRPr="00324B91" w:rsidRDefault="00E9166C" w:rsidP="00957225">
            <w:pPr>
              <w:pStyle w:val="TDummy"/>
              <w:keepNext/>
              <w:rPr>
                <w:lang w:val="de-DE"/>
              </w:rPr>
            </w:pPr>
          </w:p>
        </w:tc>
        <w:tc>
          <w:tcPr>
            <w:tcW w:w="119" w:type="dxa"/>
            <w:tcBorders>
              <w:top w:val="single" w:sz="8" w:space="0" w:color="000000"/>
            </w:tcBorders>
            <w:noWrap/>
            <w:vAlign w:val="bottom"/>
          </w:tcPr>
          <w:p w14:paraId="294BC37E" w14:textId="77777777" w:rsidR="00E9166C" w:rsidRPr="00324B91" w:rsidRDefault="00E9166C" w:rsidP="00957225">
            <w:pPr>
              <w:pStyle w:val="TDummy"/>
              <w:keepNext/>
              <w:rPr>
                <w:lang w:val="de-DE"/>
              </w:rPr>
            </w:pPr>
          </w:p>
        </w:tc>
        <w:tc>
          <w:tcPr>
            <w:tcW w:w="1021" w:type="dxa"/>
            <w:tcBorders>
              <w:top w:val="single" w:sz="8" w:space="0" w:color="000000"/>
            </w:tcBorders>
            <w:noWrap/>
            <w:vAlign w:val="bottom"/>
          </w:tcPr>
          <w:p w14:paraId="5A97740A" w14:textId="77777777" w:rsidR="00E9166C" w:rsidRPr="00324B91" w:rsidRDefault="00E9166C" w:rsidP="00957225">
            <w:pPr>
              <w:pStyle w:val="TDummy"/>
              <w:keepNext/>
              <w:rPr>
                <w:lang w:val="de-DE"/>
              </w:rPr>
            </w:pPr>
          </w:p>
        </w:tc>
      </w:tr>
      <w:tr w:rsidR="00E9166C" w14:paraId="67C2E607" w14:textId="77777777" w:rsidTr="00957225">
        <w:tc>
          <w:tcPr>
            <w:tcW w:w="2912" w:type="dxa"/>
            <w:shd w:val="clear" w:color="000000" w:fill="FFFFFF"/>
            <w:noWrap/>
            <w:vAlign w:val="bottom"/>
          </w:tcPr>
          <w:p w14:paraId="11FECFC2" w14:textId="77777777" w:rsidR="00E9166C" w:rsidRDefault="00E9166C" w:rsidP="00957225">
            <w:pPr>
              <w:pStyle w:val="THeadfirstNumber"/>
            </w:pPr>
            <w:bookmarkStart w:id="89" w:name="RANGE!B37:N37"/>
            <w:bookmarkStart w:id="90" w:name="RANGE!B37"/>
            <w:bookmarkEnd w:id="89"/>
            <w:bookmarkEnd w:id="90"/>
          </w:p>
        </w:tc>
        <w:tc>
          <w:tcPr>
            <w:tcW w:w="119" w:type="dxa"/>
            <w:noWrap/>
            <w:vAlign w:val="bottom"/>
          </w:tcPr>
          <w:p w14:paraId="7774EE02" w14:textId="77777777" w:rsidR="00E9166C" w:rsidRDefault="00E9166C" w:rsidP="00957225">
            <w:pPr>
              <w:pStyle w:val="THeadfirstNumber"/>
            </w:pPr>
          </w:p>
        </w:tc>
        <w:tc>
          <w:tcPr>
            <w:tcW w:w="3301" w:type="dxa"/>
            <w:gridSpan w:val="5"/>
            <w:tcBorders>
              <w:bottom w:val="single" w:sz="4" w:space="0" w:color="A59C94"/>
            </w:tcBorders>
            <w:shd w:val="clear" w:color="000000" w:fill="FFFFFF"/>
            <w:vAlign w:val="bottom"/>
          </w:tcPr>
          <w:p w14:paraId="5BDBCD31" w14:textId="77777777" w:rsidR="00E9166C" w:rsidRDefault="00E9166C" w:rsidP="00957225">
            <w:pPr>
              <w:pStyle w:val="THeadfirstNumber"/>
            </w:pPr>
            <w:r>
              <w:t>Umsatz</w:t>
            </w:r>
          </w:p>
        </w:tc>
        <w:tc>
          <w:tcPr>
            <w:tcW w:w="119" w:type="dxa"/>
            <w:vAlign w:val="bottom"/>
          </w:tcPr>
          <w:p w14:paraId="1A5BC46B" w14:textId="77777777" w:rsidR="00E9166C" w:rsidRDefault="00E9166C" w:rsidP="00957225">
            <w:pPr>
              <w:pStyle w:val="THeadfirstNumber"/>
            </w:pPr>
          </w:p>
        </w:tc>
        <w:tc>
          <w:tcPr>
            <w:tcW w:w="3301" w:type="dxa"/>
            <w:gridSpan w:val="5"/>
            <w:tcBorders>
              <w:bottom w:val="single" w:sz="4" w:space="0" w:color="A59C94"/>
            </w:tcBorders>
            <w:shd w:val="clear" w:color="000000" w:fill="FFFFFF"/>
            <w:vAlign w:val="bottom"/>
          </w:tcPr>
          <w:p w14:paraId="4D8AFAC3" w14:textId="77777777" w:rsidR="00E9166C" w:rsidRDefault="00E9166C" w:rsidP="00957225">
            <w:pPr>
              <w:pStyle w:val="THeadfirstNumber"/>
            </w:pPr>
            <w:r>
              <w:t>Bereinigtes EBITDA</w:t>
            </w:r>
          </w:p>
        </w:tc>
      </w:tr>
      <w:tr w:rsidR="00E9166C" w14:paraId="4622CDF6" w14:textId="77777777" w:rsidTr="00957225">
        <w:tc>
          <w:tcPr>
            <w:tcW w:w="2912" w:type="dxa"/>
            <w:tcBorders>
              <w:bottom w:val="single" w:sz="4" w:space="0" w:color="000000"/>
            </w:tcBorders>
            <w:shd w:val="clear" w:color="000000" w:fill="FFFFFF"/>
            <w:noWrap/>
            <w:vAlign w:val="bottom"/>
          </w:tcPr>
          <w:p w14:paraId="3AFF768E" w14:textId="77777777" w:rsidR="00E9166C" w:rsidRDefault="00E9166C" w:rsidP="00957225">
            <w:pPr>
              <w:pStyle w:val="THeadlastText"/>
            </w:pPr>
            <w:bookmarkStart w:id="91" w:name="RANGE!B38:N38"/>
            <w:bookmarkEnd w:id="91"/>
            <w:r>
              <w:t>in Millionen €</w:t>
            </w:r>
          </w:p>
        </w:tc>
        <w:tc>
          <w:tcPr>
            <w:tcW w:w="119" w:type="dxa"/>
            <w:noWrap/>
            <w:vAlign w:val="bottom"/>
          </w:tcPr>
          <w:p w14:paraId="75740185"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7E6B46A5" w14:textId="77777777" w:rsidR="00E9166C" w:rsidRDefault="00E9166C" w:rsidP="00957225">
            <w:pPr>
              <w:pStyle w:val="THeadlastNumber"/>
            </w:pPr>
            <w:r>
              <w:t>2020</w:t>
            </w:r>
          </w:p>
        </w:tc>
        <w:tc>
          <w:tcPr>
            <w:tcW w:w="119" w:type="dxa"/>
            <w:vAlign w:val="bottom"/>
          </w:tcPr>
          <w:p w14:paraId="7482278B"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4033E639" w14:textId="77777777" w:rsidR="00E9166C" w:rsidRDefault="00E9166C" w:rsidP="00957225">
            <w:pPr>
              <w:pStyle w:val="THeadlastNumberbold"/>
            </w:pPr>
            <w:bookmarkStart w:id="92" w:name="RANGE!F38:F45"/>
            <w:bookmarkEnd w:id="92"/>
            <w:r>
              <w:t>2021</w:t>
            </w:r>
          </w:p>
        </w:tc>
        <w:tc>
          <w:tcPr>
            <w:tcW w:w="119" w:type="dxa"/>
            <w:vAlign w:val="bottom"/>
          </w:tcPr>
          <w:p w14:paraId="2213F3BF"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727AB476" w14:textId="77777777" w:rsidR="00E9166C" w:rsidRDefault="00E9166C" w:rsidP="00957225">
            <w:pPr>
              <w:pStyle w:val="THeaddifferenceNumber"/>
              <w:keepNext/>
            </w:pPr>
            <w:bookmarkStart w:id="93" w:name="RANGE!H38:H45"/>
            <w:bookmarkEnd w:id="93"/>
            <w:proofErr w:type="spellStart"/>
            <w:r>
              <w:t>Veränd</w:t>
            </w:r>
            <w:proofErr w:type="spellEnd"/>
            <w:r>
              <w:t>. in %</w:t>
            </w:r>
          </w:p>
        </w:tc>
        <w:tc>
          <w:tcPr>
            <w:tcW w:w="119" w:type="dxa"/>
            <w:vAlign w:val="bottom"/>
          </w:tcPr>
          <w:p w14:paraId="6869F70B"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44375BA7" w14:textId="77777777" w:rsidR="00E9166C" w:rsidRDefault="00E9166C" w:rsidP="00957225">
            <w:pPr>
              <w:pStyle w:val="THeadlastNumber"/>
            </w:pPr>
            <w:r>
              <w:t>2020</w:t>
            </w:r>
          </w:p>
        </w:tc>
        <w:tc>
          <w:tcPr>
            <w:tcW w:w="119" w:type="dxa"/>
            <w:vAlign w:val="bottom"/>
          </w:tcPr>
          <w:p w14:paraId="1AC3FCC6"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6BC4E901" w14:textId="77777777" w:rsidR="00E9166C" w:rsidRDefault="00E9166C" w:rsidP="00957225">
            <w:pPr>
              <w:pStyle w:val="THeadlastNumberbold"/>
            </w:pPr>
            <w:bookmarkStart w:id="94" w:name="RANGE!L38:L45"/>
            <w:bookmarkEnd w:id="94"/>
            <w:r>
              <w:t>2021</w:t>
            </w:r>
          </w:p>
        </w:tc>
        <w:tc>
          <w:tcPr>
            <w:tcW w:w="119" w:type="dxa"/>
            <w:vAlign w:val="bottom"/>
          </w:tcPr>
          <w:p w14:paraId="7C2BCA97" w14:textId="77777777" w:rsidR="00E9166C" w:rsidRDefault="00E9166C" w:rsidP="00957225">
            <w:pPr>
              <w:pStyle w:val="THeadlastNumber"/>
            </w:pPr>
          </w:p>
        </w:tc>
        <w:tc>
          <w:tcPr>
            <w:tcW w:w="1021" w:type="dxa"/>
            <w:tcBorders>
              <w:top w:val="single" w:sz="4" w:space="0" w:color="A59C94"/>
              <w:bottom w:val="single" w:sz="4" w:space="0" w:color="000000"/>
            </w:tcBorders>
            <w:shd w:val="clear" w:color="000000" w:fill="FFFFFF"/>
            <w:vAlign w:val="bottom"/>
          </w:tcPr>
          <w:p w14:paraId="3707ED2E" w14:textId="77777777" w:rsidR="00E9166C" w:rsidRDefault="00E9166C" w:rsidP="00957225">
            <w:pPr>
              <w:pStyle w:val="THeaddifferenceNumber"/>
              <w:keepNext/>
            </w:pPr>
            <w:bookmarkStart w:id="95" w:name="RANGE!N38:N45"/>
            <w:bookmarkEnd w:id="95"/>
            <w:proofErr w:type="spellStart"/>
            <w:r>
              <w:t>Veränd</w:t>
            </w:r>
            <w:proofErr w:type="spellEnd"/>
            <w:r>
              <w:t>. in %</w:t>
            </w:r>
          </w:p>
        </w:tc>
      </w:tr>
      <w:tr w:rsidR="00E9166C" w14:paraId="775CC74B" w14:textId="77777777" w:rsidTr="00957225">
        <w:tc>
          <w:tcPr>
            <w:tcW w:w="2912" w:type="dxa"/>
            <w:tcBorders>
              <w:top w:val="single" w:sz="4" w:space="0" w:color="000000"/>
              <w:bottom w:val="single" w:sz="4" w:space="0" w:color="A59C94"/>
            </w:tcBorders>
            <w:noWrap/>
            <w:vAlign w:val="bottom"/>
          </w:tcPr>
          <w:p w14:paraId="40441E73" w14:textId="77777777" w:rsidR="00E9166C" w:rsidRDefault="00E9166C" w:rsidP="00957225">
            <w:pPr>
              <w:pStyle w:val="TBodynormalText"/>
            </w:pPr>
            <w:r>
              <w:t>Specialty Additives</w:t>
            </w:r>
          </w:p>
        </w:tc>
        <w:tc>
          <w:tcPr>
            <w:tcW w:w="119" w:type="dxa"/>
            <w:noWrap/>
            <w:vAlign w:val="bottom"/>
          </w:tcPr>
          <w:p w14:paraId="1050F194"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0C507F67" w14:textId="77777777" w:rsidR="00E9166C" w:rsidRDefault="00E9166C" w:rsidP="00957225">
            <w:pPr>
              <w:pStyle w:val="TBodynormalNumber"/>
              <w:keepNext/>
            </w:pPr>
            <w:r>
              <w:t>1.600</w:t>
            </w:r>
          </w:p>
        </w:tc>
        <w:tc>
          <w:tcPr>
            <w:tcW w:w="119" w:type="dxa"/>
            <w:noWrap/>
            <w:vAlign w:val="bottom"/>
          </w:tcPr>
          <w:p w14:paraId="07345495" w14:textId="77777777" w:rsidR="00E9166C" w:rsidRDefault="00E9166C"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7D9D9A83" w14:textId="77777777" w:rsidR="00E9166C" w:rsidRDefault="00E9166C" w:rsidP="00957225">
            <w:pPr>
              <w:pStyle w:val="TBodynormalNumber"/>
              <w:keepNext/>
            </w:pPr>
            <w:r>
              <w:t>1.829</w:t>
            </w:r>
          </w:p>
        </w:tc>
        <w:tc>
          <w:tcPr>
            <w:tcW w:w="119" w:type="dxa"/>
            <w:noWrap/>
            <w:vAlign w:val="bottom"/>
          </w:tcPr>
          <w:p w14:paraId="223D913F"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2EF9E8E4" w14:textId="77777777" w:rsidR="00E9166C" w:rsidRDefault="00E9166C" w:rsidP="00957225">
            <w:pPr>
              <w:pStyle w:val="TBodynormalNumber"/>
              <w:keepNext/>
            </w:pPr>
            <w:r>
              <w:t>14</w:t>
            </w:r>
          </w:p>
        </w:tc>
        <w:tc>
          <w:tcPr>
            <w:tcW w:w="119" w:type="dxa"/>
            <w:noWrap/>
            <w:vAlign w:val="bottom"/>
          </w:tcPr>
          <w:p w14:paraId="446845D9"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6F4C798F" w14:textId="77777777" w:rsidR="00E9166C" w:rsidRDefault="00E9166C" w:rsidP="00957225">
            <w:pPr>
              <w:pStyle w:val="TBodynormalNumber"/>
              <w:keepNext/>
            </w:pPr>
            <w:r>
              <w:t>442</w:t>
            </w:r>
          </w:p>
        </w:tc>
        <w:tc>
          <w:tcPr>
            <w:tcW w:w="119" w:type="dxa"/>
            <w:noWrap/>
            <w:vAlign w:val="bottom"/>
          </w:tcPr>
          <w:p w14:paraId="63E05A15" w14:textId="77777777" w:rsidR="00E9166C" w:rsidRDefault="00E9166C" w:rsidP="0095722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30ECD0A4" w14:textId="77777777" w:rsidR="00E9166C" w:rsidRDefault="00E9166C" w:rsidP="00957225">
            <w:pPr>
              <w:pStyle w:val="TBodynormalNumber"/>
              <w:keepNext/>
            </w:pPr>
            <w:r>
              <w:t>515</w:t>
            </w:r>
          </w:p>
        </w:tc>
        <w:tc>
          <w:tcPr>
            <w:tcW w:w="119" w:type="dxa"/>
            <w:noWrap/>
            <w:vAlign w:val="bottom"/>
          </w:tcPr>
          <w:p w14:paraId="080CE478" w14:textId="77777777" w:rsidR="00E9166C" w:rsidRDefault="00E9166C" w:rsidP="00957225">
            <w:pPr>
              <w:pStyle w:val="TBodynormalNumber"/>
              <w:keepNext/>
            </w:pPr>
          </w:p>
        </w:tc>
        <w:tc>
          <w:tcPr>
            <w:tcW w:w="1021" w:type="dxa"/>
            <w:tcBorders>
              <w:top w:val="single" w:sz="4" w:space="0" w:color="000000"/>
              <w:bottom w:val="single" w:sz="4" w:space="0" w:color="A59C94"/>
            </w:tcBorders>
            <w:noWrap/>
            <w:vAlign w:val="bottom"/>
          </w:tcPr>
          <w:p w14:paraId="71A58E9B" w14:textId="77777777" w:rsidR="00E9166C" w:rsidRDefault="00E9166C" w:rsidP="00957225">
            <w:pPr>
              <w:pStyle w:val="TBodynormalNumber"/>
              <w:keepNext/>
            </w:pPr>
            <w:r>
              <w:t>17</w:t>
            </w:r>
          </w:p>
        </w:tc>
      </w:tr>
      <w:tr w:rsidR="00E9166C" w14:paraId="0E1AE3C5" w14:textId="77777777" w:rsidTr="00957225">
        <w:tc>
          <w:tcPr>
            <w:tcW w:w="2912" w:type="dxa"/>
            <w:tcBorders>
              <w:top w:val="single" w:sz="4" w:space="0" w:color="A59C94"/>
              <w:bottom w:val="single" w:sz="4" w:space="0" w:color="A59C94"/>
            </w:tcBorders>
            <w:noWrap/>
            <w:vAlign w:val="bottom"/>
          </w:tcPr>
          <w:p w14:paraId="3D56732B" w14:textId="77777777" w:rsidR="00E9166C" w:rsidRDefault="00E9166C" w:rsidP="00957225">
            <w:pPr>
              <w:pStyle w:val="TBodynormalText"/>
            </w:pPr>
            <w:r>
              <w:t>Nutrition &amp; Care</w:t>
            </w:r>
          </w:p>
        </w:tc>
        <w:tc>
          <w:tcPr>
            <w:tcW w:w="119" w:type="dxa"/>
            <w:noWrap/>
            <w:vAlign w:val="bottom"/>
          </w:tcPr>
          <w:p w14:paraId="388D1A41"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1834FD18" w14:textId="77777777" w:rsidR="00E9166C" w:rsidRDefault="00E9166C" w:rsidP="00957225">
            <w:pPr>
              <w:pStyle w:val="TBodynormalNumber"/>
              <w:keepNext/>
            </w:pPr>
            <w:r>
              <w:t>1.490</w:t>
            </w:r>
          </w:p>
        </w:tc>
        <w:tc>
          <w:tcPr>
            <w:tcW w:w="119" w:type="dxa"/>
            <w:noWrap/>
            <w:vAlign w:val="bottom"/>
          </w:tcPr>
          <w:p w14:paraId="43DE2E27"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D9D5CFE" w14:textId="77777777" w:rsidR="00E9166C" w:rsidRDefault="00E9166C" w:rsidP="00957225">
            <w:pPr>
              <w:pStyle w:val="TBodynormalNumber"/>
              <w:keepNext/>
            </w:pPr>
            <w:r>
              <w:t>1.618</w:t>
            </w:r>
          </w:p>
        </w:tc>
        <w:tc>
          <w:tcPr>
            <w:tcW w:w="119" w:type="dxa"/>
            <w:noWrap/>
            <w:vAlign w:val="bottom"/>
          </w:tcPr>
          <w:p w14:paraId="59055968"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3D43E284" w14:textId="77777777" w:rsidR="00E9166C" w:rsidRDefault="00E9166C" w:rsidP="00957225">
            <w:pPr>
              <w:pStyle w:val="TBodynormalNumber"/>
              <w:keepNext/>
            </w:pPr>
            <w:r>
              <w:t>9</w:t>
            </w:r>
          </w:p>
        </w:tc>
        <w:tc>
          <w:tcPr>
            <w:tcW w:w="119" w:type="dxa"/>
            <w:noWrap/>
            <w:vAlign w:val="bottom"/>
          </w:tcPr>
          <w:p w14:paraId="7055C5D4"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25935B17" w14:textId="77777777" w:rsidR="00E9166C" w:rsidRDefault="00E9166C" w:rsidP="00957225">
            <w:pPr>
              <w:pStyle w:val="TBodynormalNumber"/>
              <w:keepNext/>
            </w:pPr>
            <w:r>
              <w:t>286</w:t>
            </w:r>
          </w:p>
        </w:tc>
        <w:tc>
          <w:tcPr>
            <w:tcW w:w="119" w:type="dxa"/>
            <w:noWrap/>
            <w:vAlign w:val="bottom"/>
          </w:tcPr>
          <w:p w14:paraId="211A4B9D"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8D379BD" w14:textId="77777777" w:rsidR="00E9166C" w:rsidRDefault="00E9166C" w:rsidP="00957225">
            <w:pPr>
              <w:pStyle w:val="TBodynormalNumber"/>
              <w:keepNext/>
            </w:pPr>
            <w:r>
              <w:t>325</w:t>
            </w:r>
          </w:p>
        </w:tc>
        <w:tc>
          <w:tcPr>
            <w:tcW w:w="119" w:type="dxa"/>
            <w:noWrap/>
            <w:vAlign w:val="bottom"/>
          </w:tcPr>
          <w:p w14:paraId="33F207E0"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6724E966" w14:textId="77777777" w:rsidR="00E9166C" w:rsidRDefault="00E9166C" w:rsidP="00957225">
            <w:pPr>
              <w:pStyle w:val="TBodynormalNumber"/>
              <w:keepNext/>
            </w:pPr>
            <w:r>
              <w:t>14</w:t>
            </w:r>
          </w:p>
        </w:tc>
      </w:tr>
      <w:tr w:rsidR="00E9166C" w14:paraId="0ADDC1DC" w14:textId="77777777" w:rsidTr="00957225">
        <w:tc>
          <w:tcPr>
            <w:tcW w:w="2912" w:type="dxa"/>
            <w:tcBorders>
              <w:top w:val="single" w:sz="4" w:space="0" w:color="A59C94"/>
              <w:bottom w:val="single" w:sz="4" w:space="0" w:color="A59C94"/>
            </w:tcBorders>
            <w:noWrap/>
            <w:vAlign w:val="bottom"/>
          </w:tcPr>
          <w:p w14:paraId="38A0BDC1" w14:textId="77777777" w:rsidR="00E9166C" w:rsidRDefault="00E9166C" w:rsidP="00957225">
            <w:pPr>
              <w:pStyle w:val="TBodynormalText"/>
            </w:pPr>
            <w:r>
              <w:t>Smart Materials</w:t>
            </w:r>
          </w:p>
        </w:tc>
        <w:tc>
          <w:tcPr>
            <w:tcW w:w="119" w:type="dxa"/>
            <w:noWrap/>
            <w:vAlign w:val="bottom"/>
          </w:tcPr>
          <w:p w14:paraId="099C7001"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51819680" w14:textId="77777777" w:rsidR="00E9166C" w:rsidRDefault="00E9166C" w:rsidP="00957225">
            <w:pPr>
              <w:pStyle w:val="TBodynormalNumber"/>
              <w:keepNext/>
            </w:pPr>
            <w:r>
              <w:t>1.579</w:t>
            </w:r>
          </w:p>
        </w:tc>
        <w:tc>
          <w:tcPr>
            <w:tcW w:w="119" w:type="dxa"/>
            <w:noWrap/>
            <w:vAlign w:val="bottom"/>
          </w:tcPr>
          <w:p w14:paraId="737798EB"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E326934" w14:textId="77777777" w:rsidR="00E9166C" w:rsidRDefault="00E9166C" w:rsidP="00957225">
            <w:pPr>
              <w:pStyle w:val="TBodynormalNumber"/>
              <w:keepNext/>
            </w:pPr>
            <w:r>
              <w:t>1.884</w:t>
            </w:r>
          </w:p>
        </w:tc>
        <w:tc>
          <w:tcPr>
            <w:tcW w:w="119" w:type="dxa"/>
            <w:noWrap/>
            <w:vAlign w:val="bottom"/>
          </w:tcPr>
          <w:p w14:paraId="7EFAD737"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781F4553" w14:textId="77777777" w:rsidR="00E9166C" w:rsidRDefault="00E9166C" w:rsidP="00957225">
            <w:pPr>
              <w:pStyle w:val="TBodynormalNumber"/>
              <w:keepNext/>
            </w:pPr>
            <w:r>
              <w:t>19</w:t>
            </w:r>
          </w:p>
        </w:tc>
        <w:tc>
          <w:tcPr>
            <w:tcW w:w="119" w:type="dxa"/>
            <w:noWrap/>
            <w:vAlign w:val="bottom"/>
          </w:tcPr>
          <w:p w14:paraId="62B3742A"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197C6892" w14:textId="77777777" w:rsidR="00E9166C" w:rsidRDefault="00E9166C" w:rsidP="00957225">
            <w:pPr>
              <w:pStyle w:val="TBodynormalNumber"/>
              <w:keepNext/>
            </w:pPr>
            <w:r>
              <w:t>268</w:t>
            </w:r>
          </w:p>
        </w:tc>
        <w:tc>
          <w:tcPr>
            <w:tcW w:w="119" w:type="dxa"/>
            <w:noWrap/>
            <w:vAlign w:val="bottom"/>
          </w:tcPr>
          <w:p w14:paraId="54C45F70"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C8E2096" w14:textId="77777777" w:rsidR="00E9166C" w:rsidRDefault="00E9166C" w:rsidP="00957225">
            <w:pPr>
              <w:pStyle w:val="TBodynormalNumber"/>
              <w:keepNext/>
            </w:pPr>
            <w:r>
              <w:t>350</w:t>
            </w:r>
          </w:p>
        </w:tc>
        <w:tc>
          <w:tcPr>
            <w:tcW w:w="119" w:type="dxa"/>
            <w:noWrap/>
            <w:vAlign w:val="bottom"/>
          </w:tcPr>
          <w:p w14:paraId="4384C640"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57B66216" w14:textId="77777777" w:rsidR="00E9166C" w:rsidRDefault="00E9166C" w:rsidP="00957225">
            <w:pPr>
              <w:pStyle w:val="TBodynormalNumber"/>
              <w:keepNext/>
            </w:pPr>
            <w:r>
              <w:t>31</w:t>
            </w:r>
          </w:p>
        </w:tc>
      </w:tr>
      <w:tr w:rsidR="00E9166C" w14:paraId="5E4C386C" w14:textId="77777777" w:rsidTr="00957225">
        <w:tc>
          <w:tcPr>
            <w:tcW w:w="2912" w:type="dxa"/>
            <w:tcBorders>
              <w:top w:val="single" w:sz="4" w:space="0" w:color="A59C94"/>
              <w:bottom w:val="single" w:sz="4" w:space="0" w:color="A59C94"/>
            </w:tcBorders>
            <w:noWrap/>
            <w:vAlign w:val="bottom"/>
          </w:tcPr>
          <w:p w14:paraId="7862BC8E" w14:textId="77777777" w:rsidR="00E9166C" w:rsidRDefault="00E9166C" w:rsidP="00957225">
            <w:pPr>
              <w:pStyle w:val="TBodynormalText"/>
            </w:pPr>
            <w:r>
              <w:t>Performance Materials</w:t>
            </w:r>
          </w:p>
        </w:tc>
        <w:tc>
          <w:tcPr>
            <w:tcW w:w="119" w:type="dxa"/>
            <w:noWrap/>
            <w:vAlign w:val="bottom"/>
          </w:tcPr>
          <w:p w14:paraId="7EE89728"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3BFBD83C" w14:textId="77777777" w:rsidR="00E9166C" w:rsidRDefault="00E9166C" w:rsidP="00957225">
            <w:pPr>
              <w:pStyle w:val="TBodynormalNumber"/>
              <w:keepNext/>
            </w:pPr>
            <w:r>
              <w:t>1.022</w:t>
            </w:r>
          </w:p>
        </w:tc>
        <w:tc>
          <w:tcPr>
            <w:tcW w:w="119" w:type="dxa"/>
            <w:noWrap/>
            <w:vAlign w:val="bottom"/>
          </w:tcPr>
          <w:p w14:paraId="47A355A1"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018E78A" w14:textId="77777777" w:rsidR="00E9166C" w:rsidRDefault="00E9166C" w:rsidP="00957225">
            <w:pPr>
              <w:pStyle w:val="TBodynormalNumber"/>
              <w:keepNext/>
            </w:pPr>
            <w:r>
              <w:t>1.288</w:t>
            </w:r>
          </w:p>
        </w:tc>
        <w:tc>
          <w:tcPr>
            <w:tcW w:w="119" w:type="dxa"/>
            <w:noWrap/>
            <w:vAlign w:val="bottom"/>
          </w:tcPr>
          <w:p w14:paraId="3677821C"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21C73202" w14:textId="77777777" w:rsidR="00E9166C" w:rsidRDefault="00E9166C" w:rsidP="00957225">
            <w:pPr>
              <w:pStyle w:val="TBodynormalNumber"/>
              <w:keepNext/>
            </w:pPr>
            <w:r>
              <w:t>26</w:t>
            </w:r>
          </w:p>
        </w:tc>
        <w:tc>
          <w:tcPr>
            <w:tcW w:w="119" w:type="dxa"/>
            <w:noWrap/>
            <w:vAlign w:val="bottom"/>
          </w:tcPr>
          <w:p w14:paraId="71D6354A"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41C74B6C" w14:textId="77777777" w:rsidR="00E9166C" w:rsidRDefault="00E9166C" w:rsidP="00957225">
            <w:pPr>
              <w:pStyle w:val="TBodynormalNumber"/>
              <w:keepNext/>
            </w:pPr>
            <w:r>
              <w:t>29</w:t>
            </w:r>
          </w:p>
        </w:tc>
        <w:tc>
          <w:tcPr>
            <w:tcW w:w="119" w:type="dxa"/>
            <w:noWrap/>
            <w:vAlign w:val="bottom"/>
          </w:tcPr>
          <w:p w14:paraId="15A54BAC"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154CC5F" w14:textId="77777777" w:rsidR="00E9166C" w:rsidRDefault="00E9166C" w:rsidP="00957225">
            <w:pPr>
              <w:pStyle w:val="TBodynormalNumber"/>
              <w:keepNext/>
            </w:pPr>
            <w:r>
              <w:t>140</w:t>
            </w:r>
          </w:p>
        </w:tc>
        <w:tc>
          <w:tcPr>
            <w:tcW w:w="119" w:type="dxa"/>
            <w:noWrap/>
            <w:vAlign w:val="bottom"/>
          </w:tcPr>
          <w:p w14:paraId="2D31058C"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4CAE85B4" w14:textId="77777777" w:rsidR="00E9166C" w:rsidRDefault="00E9166C" w:rsidP="00957225">
            <w:pPr>
              <w:pStyle w:val="TBodynormalNumber"/>
              <w:keepNext/>
            </w:pPr>
            <w:r>
              <w:t>383</w:t>
            </w:r>
          </w:p>
        </w:tc>
      </w:tr>
      <w:tr w:rsidR="00E9166C" w14:paraId="4E51956B" w14:textId="77777777" w:rsidTr="00957225">
        <w:tc>
          <w:tcPr>
            <w:tcW w:w="2912" w:type="dxa"/>
            <w:tcBorders>
              <w:top w:val="single" w:sz="4" w:space="0" w:color="A59C94"/>
              <w:bottom w:val="single" w:sz="4" w:space="0" w:color="A59C94"/>
            </w:tcBorders>
            <w:noWrap/>
            <w:vAlign w:val="bottom"/>
          </w:tcPr>
          <w:p w14:paraId="2D1D6A4B" w14:textId="77777777" w:rsidR="00E9166C" w:rsidRDefault="00E9166C" w:rsidP="00957225">
            <w:pPr>
              <w:pStyle w:val="TBodynormalText"/>
            </w:pPr>
            <w:r>
              <w:t>Technology &amp; Infrastructure</w:t>
            </w:r>
          </w:p>
        </w:tc>
        <w:tc>
          <w:tcPr>
            <w:tcW w:w="119" w:type="dxa"/>
            <w:noWrap/>
            <w:vAlign w:val="bottom"/>
          </w:tcPr>
          <w:p w14:paraId="5C8377AA"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3A92AC58" w14:textId="77777777" w:rsidR="00E9166C" w:rsidRDefault="00E9166C" w:rsidP="00957225">
            <w:pPr>
              <w:pStyle w:val="TBodynormalNumber"/>
              <w:keepNext/>
            </w:pPr>
            <w:r>
              <w:t>345</w:t>
            </w:r>
          </w:p>
        </w:tc>
        <w:tc>
          <w:tcPr>
            <w:tcW w:w="119" w:type="dxa"/>
            <w:noWrap/>
            <w:vAlign w:val="bottom"/>
          </w:tcPr>
          <w:p w14:paraId="27EA81EA"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A86AE98" w14:textId="77777777" w:rsidR="00E9166C" w:rsidRDefault="00E9166C" w:rsidP="00957225">
            <w:pPr>
              <w:pStyle w:val="TBodynormalNumber"/>
              <w:keepNext/>
            </w:pPr>
            <w:r>
              <w:t>348</w:t>
            </w:r>
          </w:p>
        </w:tc>
        <w:tc>
          <w:tcPr>
            <w:tcW w:w="119" w:type="dxa"/>
            <w:noWrap/>
            <w:vAlign w:val="bottom"/>
          </w:tcPr>
          <w:p w14:paraId="4BE4ED16"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2868461A" w14:textId="77777777" w:rsidR="00E9166C" w:rsidRDefault="00E9166C" w:rsidP="00957225">
            <w:pPr>
              <w:pStyle w:val="TBodynormalNumber"/>
              <w:keepNext/>
            </w:pPr>
            <w:r>
              <w:t>1</w:t>
            </w:r>
          </w:p>
        </w:tc>
        <w:tc>
          <w:tcPr>
            <w:tcW w:w="119" w:type="dxa"/>
            <w:noWrap/>
            <w:vAlign w:val="bottom"/>
          </w:tcPr>
          <w:p w14:paraId="43561682"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58AA4281" w14:textId="77777777" w:rsidR="00E9166C" w:rsidRDefault="00E9166C" w:rsidP="00957225">
            <w:pPr>
              <w:pStyle w:val="TBodynormalNumber"/>
              <w:keepNext/>
            </w:pPr>
            <w:r>
              <w:t>73</w:t>
            </w:r>
          </w:p>
        </w:tc>
        <w:tc>
          <w:tcPr>
            <w:tcW w:w="119" w:type="dxa"/>
            <w:noWrap/>
            <w:vAlign w:val="bottom"/>
          </w:tcPr>
          <w:p w14:paraId="16C6416E"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EC8E862" w14:textId="77777777" w:rsidR="00E9166C" w:rsidRDefault="00E9166C" w:rsidP="00957225">
            <w:pPr>
              <w:pStyle w:val="TBodynormalNumber"/>
              <w:keepNext/>
            </w:pPr>
            <w:r>
              <w:t>55</w:t>
            </w:r>
          </w:p>
        </w:tc>
        <w:tc>
          <w:tcPr>
            <w:tcW w:w="119" w:type="dxa"/>
            <w:noWrap/>
            <w:vAlign w:val="bottom"/>
          </w:tcPr>
          <w:p w14:paraId="0C87E620"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54940A07" w14:textId="77777777" w:rsidR="00E9166C" w:rsidRDefault="00E9166C" w:rsidP="00957225">
            <w:pPr>
              <w:pStyle w:val="TBodynormalNumber"/>
              <w:keepNext/>
            </w:pPr>
            <w:r>
              <w:t>-25</w:t>
            </w:r>
          </w:p>
        </w:tc>
      </w:tr>
      <w:tr w:rsidR="00E9166C" w14:paraId="1CC09370" w14:textId="77777777" w:rsidTr="00957225">
        <w:tc>
          <w:tcPr>
            <w:tcW w:w="2912" w:type="dxa"/>
            <w:tcBorders>
              <w:top w:val="single" w:sz="4" w:space="0" w:color="A59C94"/>
              <w:bottom w:val="single" w:sz="4" w:space="0" w:color="A59C94"/>
            </w:tcBorders>
            <w:noWrap/>
            <w:vAlign w:val="bottom"/>
          </w:tcPr>
          <w:p w14:paraId="2ADE12C6" w14:textId="77777777" w:rsidR="00E9166C" w:rsidRPr="00324B91" w:rsidRDefault="00E9166C" w:rsidP="00957225">
            <w:pPr>
              <w:pStyle w:val="TBodynormalText"/>
              <w:rPr>
                <w:lang w:val="en-US"/>
              </w:rPr>
            </w:pPr>
            <w:r w:rsidRPr="00324B91">
              <w:rPr>
                <w:lang w:val="en-US"/>
              </w:rPr>
              <w:t xml:space="preserve">Enabling Functions, Other Activities, </w:t>
            </w:r>
            <w:proofErr w:type="spellStart"/>
            <w:r w:rsidRPr="00324B91">
              <w:rPr>
                <w:lang w:val="en-US"/>
              </w:rPr>
              <w:t>Konsolidierung</w:t>
            </w:r>
            <w:proofErr w:type="spellEnd"/>
          </w:p>
        </w:tc>
        <w:tc>
          <w:tcPr>
            <w:tcW w:w="119" w:type="dxa"/>
            <w:noWrap/>
            <w:vAlign w:val="bottom"/>
          </w:tcPr>
          <w:p w14:paraId="2482F4CC" w14:textId="77777777" w:rsidR="00E9166C" w:rsidRPr="00324B91" w:rsidRDefault="00E9166C" w:rsidP="00957225">
            <w:pPr>
              <w:pStyle w:val="TBodynormalNumber"/>
              <w:keepNext/>
              <w:rPr>
                <w:lang w:val="en-US"/>
              </w:rPr>
            </w:pPr>
          </w:p>
        </w:tc>
        <w:tc>
          <w:tcPr>
            <w:tcW w:w="1021" w:type="dxa"/>
            <w:tcBorders>
              <w:top w:val="single" w:sz="4" w:space="0" w:color="A59C94"/>
              <w:bottom w:val="single" w:sz="4" w:space="0" w:color="A59C94"/>
            </w:tcBorders>
            <w:noWrap/>
            <w:vAlign w:val="bottom"/>
          </w:tcPr>
          <w:p w14:paraId="4EF5F8CC" w14:textId="77777777" w:rsidR="00E9166C" w:rsidRDefault="00E9166C" w:rsidP="00957225">
            <w:pPr>
              <w:pStyle w:val="TBodynormalNumber"/>
              <w:keepNext/>
            </w:pPr>
            <w:r>
              <w:t>33</w:t>
            </w:r>
          </w:p>
        </w:tc>
        <w:tc>
          <w:tcPr>
            <w:tcW w:w="119" w:type="dxa"/>
            <w:noWrap/>
            <w:vAlign w:val="bottom"/>
          </w:tcPr>
          <w:p w14:paraId="4D5676E9"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91CA975" w14:textId="77777777" w:rsidR="00E9166C" w:rsidRDefault="00E9166C" w:rsidP="00957225">
            <w:pPr>
              <w:pStyle w:val="TBodynormalNumber"/>
              <w:keepNext/>
            </w:pPr>
            <w:r>
              <w:t>27</w:t>
            </w:r>
          </w:p>
        </w:tc>
        <w:tc>
          <w:tcPr>
            <w:tcW w:w="119" w:type="dxa"/>
            <w:noWrap/>
            <w:vAlign w:val="bottom"/>
          </w:tcPr>
          <w:p w14:paraId="2B9D94B1"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575E2410" w14:textId="77777777" w:rsidR="00E9166C" w:rsidRDefault="00E9166C" w:rsidP="00957225">
            <w:pPr>
              <w:pStyle w:val="TBodynormalNumber"/>
              <w:keepNext/>
            </w:pPr>
            <w:r>
              <w:t>-18</w:t>
            </w:r>
          </w:p>
        </w:tc>
        <w:tc>
          <w:tcPr>
            <w:tcW w:w="119" w:type="dxa"/>
            <w:noWrap/>
            <w:vAlign w:val="bottom"/>
          </w:tcPr>
          <w:p w14:paraId="519A6AE1"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2C031740" w14:textId="77777777" w:rsidR="00E9166C" w:rsidRDefault="00E9166C" w:rsidP="00957225">
            <w:pPr>
              <w:pStyle w:val="TBodynormalNumber"/>
              <w:keepNext/>
            </w:pPr>
            <w:r>
              <w:t>-128</w:t>
            </w:r>
          </w:p>
        </w:tc>
        <w:tc>
          <w:tcPr>
            <w:tcW w:w="119" w:type="dxa"/>
            <w:noWrap/>
            <w:vAlign w:val="bottom"/>
          </w:tcPr>
          <w:p w14:paraId="0D9FC01B"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49974B8" w14:textId="77777777" w:rsidR="00E9166C" w:rsidRDefault="00E9166C" w:rsidP="00957225">
            <w:pPr>
              <w:pStyle w:val="TBodynormalNumber"/>
              <w:keepNext/>
            </w:pPr>
            <w:r>
              <w:t>-148</w:t>
            </w:r>
          </w:p>
        </w:tc>
        <w:tc>
          <w:tcPr>
            <w:tcW w:w="119" w:type="dxa"/>
            <w:noWrap/>
            <w:vAlign w:val="bottom"/>
          </w:tcPr>
          <w:p w14:paraId="4E1F976D" w14:textId="77777777" w:rsidR="00E9166C" w:rsidRDefault="00E9166C" w:rsidP="00957225">
            <w:pPr>
              <w:pStyle w:val="TBodynormalNumber"/>
              <w:keepNext/>
            </w:pPr>
          </w:p>
        </w:tc>
        <w:tc>
          <w:tcPr>
            <w:tcW w:w="1021" w:type="dxa"/>
            <w:tcBorders>
              <w:top w:val="single" w:sz="4" w:space="0" w:color="A59C94"/>
              <w:bottom w:val="single" w:sz="4" w:space="0" w:color="A59C94"/>
            </w:tcBorders>
            <w:noWrap/>
            <w:vAlign w:val="bottom"/>
          </w:tcPr>
          <w:p w14:paraId="2D010F9C" w14:textId="77777777" w:rsidR="00E9166C" w:rsidRDefault="00E9166C" w:rsidP="00957225">
            <w:pPr>
              <w:pStyle w:val="TBodynormalNumber"/>
              <w:keepNext/>
            </w:pPr>
            <w:r>
              <w:t>-16</w:t>
            </w:r>
          </w:p>
        </w:tc>
      </w:tr>
      <w:tr w:rsidR="00E9166C" w14:paraId="213D47E3" w14:textId="77777777" w:rsidTr="00957225">
        <w:tc>
          <w:tcPr>
            <w:tcW w:w="2912" w:type="dxa"/>
            <w:tcBorders>
              <w:top w:val="single" w:sz="4" w:space="0" w:color="A59C94"/>
              <w:bottom w:val="single" w:sz="16" w:space="0" w:color="991D85"/>
            </w:tcBorders>
            <w:noWrap/>
            <w:vAlign w:val="bottom"/>
          </w:tcPr>
          <w:p w14:paraId="22E4F945" w14:textId="77777777" w:rsidR="00E9166C" w:rsidRDefault="00E9166C" w:rsidP="00957225">
            <w:pPr>
              <w:pStyle w:val="TBodytotalText"/>
            </w:pPr>
            <w:bookmarkStart w:id="96" w:name="RANGE!B45:N45"/>
            <w:bookmarkEnd w:id="96"/>
            <w:r>
              <w:t>Konzern</w:t>
            </w:r>
          </w:p>
        </w:tc>
        <w:tc>
          <w:tcPr>
            <w:tcW w:w="119" w:type="dxa"/>
            <w:tcBorders>
              <w:bottom w:val="single" w:sz="16" w:space="0" w:color="991D85"/>
            </w:tcBorders>
            <w:noWrap/>
            <w:vAlign w:val="bottom"/>
          </w:tcPr>
          <w:p w14:paraId="453B8DC7" w14:textId="77777777" w:rsidR="00E9166C" w:rsidRDefault="00E9166C" w:rsidP="00957225">
            <w:pPr>
              <w:pStyle w:val="TBodytotalNumber"/>
            </w:pPr>
          </w:p>
        </w:tc>
        <w:tc>
          <w:tcPr>
            <w:tcW w:w="1021" w:type="dxa"/>
            <w:tcBorders>
              <w:top w:val="single" w:sz="4" w:space="0" w:color="A59C94"/>
              <w:bottom w:val="single" w:sz="16" w:space="0" w:color="991D85"/>
            </w:tcBorders>
            <w:noWrap/>
            <w:vAlign w:val="bottom"/>
          </w:tcPr>
          <w:p w14:paraId="18BAF099" w14:textId="77777777" w:rsidR="00E9166C" w:rsidRDefault="00E9166C" w:rsidP="00957225">
            <w:pPr>
              <w:pStyle w:val="TBodytotalNumber"/>
            </w:pPr>
            <w:r>
              <w:t>6.069</w:t>
            </w:r>
          </w:p>
        </w:tc>
        <w:tc>
          <w:tcPr>
            <w:tcW w:w="119" w:type="dxa"/>
            <w:tcBorders>
              <w:bottom w:val="single" w:sz="16" w:space="0" w:color="991D85"/>
            </w:tcBorders>
            <w:noWrap/>
            <w:vAlign w:val="bottom"/>
          </w:tcPr>
          <w:p w14:paraId="56ACE73C" w14:textId="77777777" w:rsidR="00E9166C" w:rsidRDefault="00E9166C" w:rsidP="00957225">
            <w:pPr>
              <w:pStyle w:val="TBodytotalNumber"/>
            </w:pPr>
          </w:p>
        </w:tc>
        <w:tc>
          <w:tcPr>
            <w:tcW w:w="1021" w:type="dxa"/>
            <w:tcBorders>
              <w:top w:val="single" w:sz="4" w:space="0" w:color="A59C94"/>
              <w:bottom w:val="single" w:sz="16" w:space="0" w:color="991D85"/>
            </w:tcBorders>
            <w:shd w:val="clear" w:color="000000" w:fill="DAD5C9"/>
            <w:noWrap/>
            <w:vAlign w:val="bottom"/>
          </w:tcPr>
          <w:p w14:paraId="422FD7D7" w14:textId="77777777" w:rsidR="00E9166C" w:rsidRDefault="00E9166C" w:rsidP="00957225">
            <w:pPr>
              <w:pStyle w:val="TBodytotalNumber"/>
            </w:pPr>
            <w:r>
              <w:t>6.994</w:t>
            </w:r>
          </w:p>
        </w:tc>
        <w:tc>
          <w:tcPr>
            <w:tcW w:w="119" w:type="dxa"/>
            <w:tcBorders>
              <w:bottom w:val="single" w:sz="16" w:space="0" w:color="991D85"/>
            </w:tcBorders>
            <w:noWrap/>
            <w:vAlign w:val="bottom"/>
          </w:tcPr>
          <w:p w14:paraId="4078344A" w14:textId="77777777" w:rsidR="00E9166C" w:rsidRDefault="00E9166C" w:rsidP="00957225">
            <w:pPr>
              <w:pStyle w:val="TBodytotalNumber"/>
            </w:pPr>
          </w:p>
        </w:tc>
        <w:tc>
          <w:tcPr>
            <w:tcW w:w="1021" w:type="dxa"/>
            <w:tcBorders>
              <w:top w:val="single" w:sz="4" w:space="0" w:color="A59C94"/>
              <w:bottom w:val="single" w:sz="16" w:space="0" w:color="991D85"/>
            </w:tcBorders>
            <w:noWrap/>
            <w:vAlign w:val="bottom"/>
          </w:tcPr>
          <w:p w14:paraId="5E7AC4E9" w14:textId="77777777" w:rsidR="00E9166C" w:rsidRDefault="00E9166C" w:rsidP="00957225">
            <w:pPr>
              <w:pStyle w:val="TBodytotalNumber"/>
            </w:pPr>
            <w:r>
              <w:t>15</w:t>
            </w:r>
          </w:p>
        </w:tc>
        <w:tc>
          <w:tcPr>
            <w:tcW w:w="119" w:type="dxa"/>
            <w:tcBorders>
              <w:bottom w:val="single" w:sz="16" w:space="0" w:color="991D85"/>
            </w:tcBorders>
            <w:noWrap/>
            <w:vAlign w:val="bottom"/>
          </w:tcPr>
          <w:p w14:paraId="26E10A2B" w14:textId="77777777" w:rsidR="00E9166C" w:rsidRDefault="00E9166C" w:rsidP="00957225">
            <w:pPr>
              <w:pStyle w:val="TBodytotalNumber"/>
            </w:pPr>
          </w:p>
        </w:tc>
        <w:tc>
          <w:tcPr>
            <w:tcW w:w="1021" w:type="dxa"/>
            <w:tcBorders>
              <w:top w:val="single" w:sz="4" w:space="0" w:color="A59C94"/>
              <w:bottom w:val="single" w:sz="16" w:space="0" w:color="991D85"/>
            </w:tcBorders>
            <w:noWrap/>
            <w:vAlign w:val="bottom"/>
          </w:tcPr>
          <w:p w14:paraId="224FE033" w14:textId="77777777" w:rsidR="00E9166C" w:rsidRDefault="00E9166C" w:rsidP="00957225">
            <w:pPr>
              <w:pStyle w:val="TBodytotalNumber"/>
            </w:pPr>
            <w:r>
              <w:t>970</w:t>
            </w:r>
          </w:p>
        </w:tc>
        <w:tc>
          <w:tcPr>
            <w:tcW w:w="119" w:type="dxa"/>
            <w:tcBorders>
              <w:bottom w:val="single" w:sz="16" w:space="0" w:color="991D85"/>
            </w:tcBorders>
            <w:noWrap/>
            <w:vAlign w:val="bottom"/>
          </w:tcPr>
          <w:p w14:paraId="6D58D06D" w14:textId="77777777" w:rsidR="00E9166C" w:rsidRDefault="00E9166C" w:rsidP="00957225">
            <w:pPr>
              <w:pStyle w:val="TBodytotalNumber"/>
            </w:pPr>
          </w:p>
        </w:tc>
        <w:tc>
          <w:tcPr>
            <w:tcW w:w="1021" w:type="dxa"/>
            <w:tcBorders>
              <w:top w:val="single" w:sz="4" w:space="0" w:color="A59C94"/>
              <w:bottom w:val="single" w:sz="16" w:space="0" w:color="991D85"/>
            </w:tcBorders>
            <w:shd w:val="clear" w:color="000000" w:fill="DAD5C9"/>
            <w:noWrap/>
            <w:vAlign w:val="bottom"/>
          </w:tcPr>
          <w:p w14:paraId="0340E5E1" w14:textId="77777777" w:rsidR="00E9166C" w:rsidRDefault="00E9166C" w:rsidP="00957225">
            <w:pPr>
              <w:pStyle w:val="TBodytotalNumber"/>
            </w:pPr>
            <w:r>
              <w:t>1.237</w:t>
            </w:r>
          </w:p>
        </w:tc>
        <w:tc>
          <w:tcPr>
            <w:tcW w:w="119" w:type="dxa"/>
            <w:tcBorders>
              <w:bottom w:val="single" w:sz="16" w:space="0" w:color="991D85"/>
            </w:tcBorders>
            <w:noWrap/>
            <w:vAlign w:val="bottom"/>
          </w:tcPr>
          <w:p w14:paraId="6BBF9B03" w14:textId="77777777" w:rsidR="00E9166C" w:rsidRDefault="00E9166C" w:rsidP="00957225">
            <w:pPr>
              <w:pStyle w:val="TBodytotalNumber"/>
            </w:pPr>
          </w:p>
        </w:tc>
        <w:tc>
          <w:tcPr>
            <w:tcW w:w="1021" w:type="dxa"/>
            <w:tcBorders>
              <w:top w:val="single" w:sz="4" w:space="0" w:color="A59C94"/>
              <w:bottom w:val="single" w:sz="16" w:space="0" w:color="991D85"/>
            </w:tcBorders>
            <w:noWrap/>
            <w:vAlign w:val="bottom"/>
          </w:tcPr>
          <w:p w14:paraId="30AABDBA" w14:textId="77777777" w:rsidR="00E9166C" w:rsidRDefault="00E9166C" w:rsidP="00957225">
            <w:pPr>
              <w:pStyle w:val="TBodytotalNumber"/>
            </w:pPr>
            <w:r>
              <w:t>28</w:t>
            </w:r>
          </w:p>
        </w:tc>
      </w:tr>
      <w:bookmarkEnd w:id="88"/>
    </w:tbl>
    <w:p w14:paraId="46FB9599" w14:textId="77777777" w:rsidR="00E9166C" w:rsidRDefault="00E9166C" w:rsidP="00E9166C"/>
    <w:tbl>
      <w:tblPr>
        <w:tblW w:w="9753" w:type="dxa"/>
        <w:tblLayout w:type="fixed"/>
        <w:tblCellMar>
          <w:left w:w="0" w:type="dxa"/>
          <w:right w:w="0" w:type="dxa"/>
        </w:tblCellMar>
        <w:tblLook w:val="0000" w:firstRow="0" w:lastRow="0" w:firstColumn="0" w:lastColumn="0" w:noHBand="0" w:noVBand="0"/>
        <w:tblDescription w:val="SNEID_c720cab57c594aada75418c71280f863"/>
      </w:tblPr>
      <w:tblGrid>
        <w:gridCol w:w="7473"/>
        <w:gridCol w:w="119"/>
        <w:gridCol w:w="1021"/>
        <w:gridCol w:w="119"/>
        <w:gridCol w:w="1021"/>
      </w:tblGrid>
      <w:tr w:rsidR="00E9166C" w14:paraId="3F2A883E" w14:textId="77777777" w:rsidTr="00957225">
        <w:tc>
          <w:tcPr>
            <w:tcW w:w="7473" w:type="dxa"/>
            <w:vAlign w:val="bottom"/>
          </w:tcPr>
          <w:p w14:paraId="3CA6E905" w14:textId="77777777" w:rsidR="00E9166C" w:rsidRDefault="00E9166C" w:rsidP="00957225">
            <w:pPr>
              <w:pStyle w:val="TTitleText"/>
            </w:pPr>
            <w:bookmarkStart w:id="97" w:name="SNAMD_26378520ab964accb1ebaab94d0ca037"/>
            <w:bookmarkStart w:id="98" w:name="SNEID_c720cab57c594aada75418c71280f863"/>
            <w:r>
              <w:lastRenderedPageBreak/>
              <w:t xml:space="preserve">Mitarbeiter </w:t>
            </w:r>
            <w:proofErr w:type="spellStart"/>
            <w:r>
              <w:t>nach</w:t>
            </w:r>
            <w:proofErr w:type="spellEnd"/>
            <w:r>
              <w:t xml:space="preserve"> </w:t>
            </w:r>
            <w:proofErr w:type="spellStart"/>
            <w:r>
              <w:t>Divisionen</w:t>
            </w:r>
            <w:bookmarkEnd w:id="97"/>
            <w:proofErr w:type="spellEnd"/>
          </w:p>
        </w:tc>
        <w:tc>
          <w:tcPr>
            <w:tcW w:w="119" w:type="dxa"/>
            <w:vAlign w:val="bottom"/>
          </w:tcPr>
          <w:p w14:paraId="6A4647DF" w14:textId="77777777" w:rsidR="00E9166C" w:rsidRDefault="00E9166C" w:rsidP="00957225">
            <w:pPr>
              <w:pStyle w:val="TTitleText"/>
            </w:pPr>
          </w:p>
        </w:tc>
        <w:tc>
          <w:tcPr>
            <w:tcW w:w="1021" w:type="dxa"/>
            <w:vAlign w:val="bottom"/>
          </w:tcPr>
          <w:p w14:paraId="254014CC" w14:textId="77777777" w:rsidR="00E9166C" w:rsidRDefault="00E9166C" w:rsidP="00957225">
            <w:pPr>
              <w:pStyle w:val="TTitleText"/>
            </w:pPr>
          </w:p>
        </w:tc>
        <w:tc>
          <w:tcPr>
            <w:tcW w:w="119" w:type="dxa"/>
            <w:vAlign w:val="bottom"/>
          </w:tcPr>
          <w:p w14:paraId="266AA755" w14:textId="77777777" w:rsidR="00E9166C" w:rsidRDefault="00E9166C" w:rsidP="00957225">
            <w:pPr>
              <w:pStyle w:val="TTitleText"/>
            </w:pPr>
          </w:p>
        </w:tc>
        <w:tc>
          <w:tcPr>
            <w:tcW w:w="1021" w:type="dxa"/>
            <w:vAlign w:val="bottom"/>
          </w:tcPr>
          <w:p w14:paraId="64A23DD2" w14:textId="77777777" w:rsidR="00E9166C" w:rsidRDefault="00E9166C" w:rsidP="00957225">
            <w:pPr>
              <w:pStyle w:val="TTitleText"/>
            </w:pPr>
          </w:p>
        </w:tc>
      </w:tr>
      <w:tr w:rsidR="00E9166C" w14:paraId="42583980" w14:textId="77777777" w:rsidTr="00957225">
        <w:tc>
          <w:tcPr>
            <w:tcW w:w="7473" w:type="dxa"/>
            <w:tcBorders>
              <w:top w:val="single" w:sz="8" w:space="0" w:color="000000"/>
            </w:tcBorders>
            <w:vAlign w:val="bottom"/>
          </w:tcPr>
          <w:p w14:paraId="5DB97C07" w14:textId="77777777" w:rsidR="00E9166C" w:rsidRDefault="00E9166C" w:rsidP="00957225">
            <w:pPr>
              <w:pStyle w:val="TDummy"/>
              <w:keepNext/>
            </w:pPr>
          </w:p>
        </w:tc>
        <w:tc>
          <w:tcPr>
            <w:tcW w:w="119" w:type="dxa"/>
            <w:tcBorders>
              <w:top w:val="single" w:sz="8" w:space="0" w:color="000000"/>
            </w:tcBorders>
            <w:vAlign w:val="bottom"/>
          </w:tcPr>
          <w:p w14:paraId="2FD7F9A7" w14:textId="77777777" w:rsidR="00E9166C" w:rsidRDefault="00E9166C" w:rsidP="00957225">
            <w:pPr>
              <w:pStyle w:val="TDummy"/>
              <w:keepNext/>
            </w:pPr>
          </w:p>
        </w:tc>
        <w:tc>
          <w:tcPr>
            <w:tcW w:w="1021" w:type="dxa"/>
            <w:tcBorders>
              <w:top w:val="single" w:sz="8" w:space="0" w:color="000000"/>
            </w:tcBorders>
            <w:vAlign w:val="bottom"/>
          </w:tcPr>
          <w:p w14:paraId="0B913EBB" w14:textId="77777777" w:rsidR="00E9166C" w:rsidRDefault="00E9166C" w:rsidP="00957225">
            <w:pPr>
              <w:pStyle w:val="TDummy"/>
              <w:keepNext/>
            </w:pPr>
          </w:p>
        </w:tc>
        <w:tc>
          <w:tcPr>
            <w:tcW w:w="119" w:type="dxa"/>
            <w:tcBorders>
              <w:top w:val="single" w:sz="8" w:space="0" w:color="000000"/>
            </w:tcBorders>
            <w:vAlign w:val="bottom"/>
          </w:tcPr>
          <w:p w14:paraId="5E205536" w14:textId="77777777" w:rsidR="00E9166C" w:rsidRDefault="00E9166C" w:rsidP="00957225">
            <w:pPr>
              <w:pStyle w:val="TDummy"/>
              <w:keepNext/>
            </w:pPr>
          </w:p>
        </w:tc>
        <w:tc>
          <w:tcPr>
            <w:tcW w:w="1021" w:type="dxa"/>
            <w:tcBorders>
              <w:top w:val="single" w:sz="8" w:space="0" w:color="000000"/>
            </w:tcBorders>
            <w:vAlign w:val="bottom"/>
          </w:tcPr>
          <w:p w14:paraId="1971EB2F" w14:textId="77777777" w:rsidR="00E9166C" w:rsidRDefault="00E9166C" w:rsidP="00957225">
            <w:pPr>
              <w:pStyle w:val="TDummy"/>
              <w:keepNext/>
            </w:pPr>
          </w:p>
        </w:tc>
      </w:tr>
      <w:tr w:rsidR="00E9166C" w14:paraId="3833DE85" w14:textId="77777777" w:rsidTr="00957225">
        <w:tc>
          <w:tcPr>
            <w:tcW w:w="7473" w:type="dxa"/>
            <w:tcBorders>
              <w:bottom w:val="single" w:sz="4" w:space="0" w:color="000000"/>
            </w:tcBorders>
            <w:shd w:val="clear" w:color="000000" w:fill="FFFFFF"/>
            <w:vAlign w:val="bottom"/>
          </w:tcPr>
          <w:p w14:paraId="4DA2ABA8" w14:textId="77777777" w:rsidR="00E9166C" w:rsidRDefault="00E9166C" w:rsidP="00957225">
            <w:pPr>
              <w:pStyle w:val="THeadsingleText"/>
            </w:pPr>
          </w:p>
        </w:tc>
        <w:tc>
          <w:tcPr>
            <w:tcW w:w="119" w:type="dxa"/>
            <w:vAlign w:val="bottom"/>
          </w:tcPr>
          <w:p w14:paraId="74A022CC" w14:textId="77777777" w:rsidR="00E9166C" w:rsidRDefault="00E9166C" w:rsidP="00957225">
            <w:pPr>
              <w:pStyle w:val="THeadsingleNumber"/>
            </w:pPr>
          </w:p>
        </w:tc>
        <w:tc>
          <w:tcPr>
            <w:tcW w:w="1021" w:type="dxa"/>
            <w:tcBorders>
              <w:bottom w:val="single" w:sz="4" w:space="0" w:color="000000"/>
            </w:tcBorders>
            <w:shd w:val="clear" w:color="000000" w:fill="FFFFFF"/>
            <w:vAlign w:val="bottom"/>
          </w:tcPr>
          <w:p w14:paraId="3E63D2FD" w14:textId="77777777" w:rsidR="00E9166C" w:rsidRDefault="00E9166C" w:rsidP="00957225">
            <w:pPr>
              <w:pStyle w:val="THeadsingleNumber"/>
            </w:pPr>
            <w:r>
              <w:t>31.12.2020</w:t>
            </w:r>
          </w:p>
        </w:tc>
        <w:tc>
          <w:tcPr>
            <w:tcW w:w="119" w:type="dxa"/>
            <w:vAlign w:val="bottom"/>
          </w:tcPr>
          <w:p w14:paraId="16A1F686" w14:textId="77777777" w:rsidR="00E9166C" w:rsidRDefault="00E9166C" w:rsidP="00957225">
            <w:pPr>
              <w:pStyle w:val="THeadsingleNumber"/>
            </w:pPr>
          </w:p>
        </w:tc>
        <w:tc>
          <w:tcPr>
            <w:tcW w:w="1021" w:type="dxa"/>
            <w:tcBorders>
              <w:bottom w:val="single" w:sz="4" w:space="0" w:color="000000"/>
            </w:tcBorders>
            <w:shd w:val="clear" w:color="000000" w:fill="FFFFFF"/>
            <w:vAlign w:val="bottom"/>
          </w:tcPr>
          <w:p w14:paraId="5E7B3883" w14:textId="77777777" w:rsidR="00E9166C" w:rsidRDefault="00E9166C" w:rsidP="00957225">
            <w:pPr>
              <w:pStyle w:val="THeadsingleNumberbold"/>
            </w:pPr>
            <w:r>
              <w:t>30.06.2021</w:t>
            </w:r>
          </w:p>
        </w:tc>
      </w:tr>
      <w:tr w:rsidR="00E9166C" w14:paraId="6CD124D8" w14:textId="77777777" w:rsidTr="00957225">
        <w:tc>
          <w:tcPr>
            <w:tcW w:w="7473" w:type="dxa"/>
            <w:tcBorders>
              <w:top w:val="single" w:sz="4" w:space="0" w:color="000000"/>
              <w:bottom w:val="single" w:sz="4" w:space="0" w:color="A59C94"/>
            </w:tcBorders>
            <w:vAlign w:val="bottom"/>
          </w:tcPr>
          <w:p w14:paraId="38EC617E" w14:textId="77777777" w:rsidR="00E9166C" w:rsidRDefault="00E9166C" w:rsidP="00957225">
            <w:pPr>
              <w:pStyle w:val="TBodynormalText"/>
            </w:pPr>
            <w:r>
              <w:t>Specialty Additives</w:t>
            </w:r>
          </w:p>
        </w:tc>
        <w:tc>
          <w:tcPr>
            <w:tcW w:w="119" w:type="dxa"/>
            <w:vAlign w:val="bottom"/>
          </w:tcPr>
          <w:p w14:paraId="5F64FC0F" w14:textId="77777777" w:rsidR="00E9166C" w:rsidRDefault="00E9166C" w:rsidP="00957225">
            <w:pPr>
              <w:pStyle w:val="TBodynormalNumber"/>
              <w:keepNext/>
            </w:pPr>
          </w:p>
        </w:tc>
        <w:tc>
          <w:tcPr>
            <w:tcW w:w="1021" w:type="dxa"/>
            <w:tcBorders>
              <w:top w:val="single" w:sz="4" w:space="0" w:color="000000"/>
              <w:bottom w:val="single" w:sz="4" w:space="0" w:color="A59C94"/>
            </w:tcBorders>
            <w:vAlign w:val="bottom"/>
          </w:tcPr>
          <w:p w14:paraId="4026AAC2" w14:textId="77777777" w:rsidR="00E9166C" w:rsidRDefault="00E9166C" w:rsidP="00957225">
            <w:pPr>
              <w:pStyle w:val="TBodynormalNumber"/>
              <w:keepNext/>
            </w:pPr>
            <w:bookmarkStart w:id="99" w:name="SNAMD_cf91ec822a834239a8f782a28e3d5cfb"/>
            <w:r>
              <w:t>3.666</w:t>
            </w:r>
            <w:bookmarkEnd w:id="99"/>
          </w:p>
        </w:tc>
        <w:tc>
          <w:tcPr>
            <w:tcW w:w="119" w:type="dxa"/>
            <w:vAlign w:val="bottom"/>
          </w:tcPr>
          <w:p w14:paraId="2671B01E" w14:textId="77777777" w:rsidR="00E9166C" w:rsidRDefault="00E9166C" w:rsidP="00957225">
            <w:pPr>
              <w:pStyle w:val="TBodynormalNumber"/>
              <w:keepNext/>
            </w:pPr>
          </w:p>
        </w:tc>
        <w:tc>
          <w:tcPr>
            <w:tcW w:w="1021" w:type="dxa"/>
            <w:tcBorders>
              <w:top w:val="single" w:sz="4" w:space="0" w:color="000000"/>
              <w:bottom w:val="single" w:sz="4" w:space="0" w:color="A59C94"/>
            </w:tcBorders>
            <w:shd w:val="clear" w:color="000000" w:fill="DAD5C9"/>
            <w:vAlign w:val="bottom"/>
          </w:tcPr>
          <w:p w14:paraId="727E27FE" w14:textId="77777777" w:rsidR="00E9166C" w:rsidRDefault="00E9166C" w:rsidP="00957225">
            <w:pPr>
              <w:pStyle w:val="TBodynormalNumber"/>
              <w:keepNext/>
            </w:pPr>
            <w:bookmarkStart w:id="100" w:name="SNAMD_ed759e0eb161423684c7805778c9aa9b"/>
            <w:r>
              <w:t>3.680</w:t>
            </w:r>
            <w:bookmarkEnd w:id="100"/>
          </w:p>
        </w:tc>
      </w:tr>
      <w:tr w:rsidR="00E9166C" w14:paraId="078362CB" w14:textId="77777777" w:rsidTr="00957225">
        <w:tc>
          <w:tcPr>
            <w:tcW w:w="7473" w:type="dxa"/>
            <w:tcBorders>
              <w:top w:val="single" w:sz="4" w:space="0" w:color="A59C94"/>
              <w:bottom w:val="single" w:sz="4" w:space="0" w:color="A59C94"/>
            </w:tcBorders>
            <w:vAlign w:val="bottom"/>
          </w:tcPr>
          <w:p w14:paraId="2E7F7020" w14:textId="77777777" w:rsidR="00E9166C" w:rsidRDefault="00E9166C" w:rsidP="00957225">
            <w:pPr>
              <w:pStyle w:val="TBodynormalText"/>
            </w:pPr>
            <w:r>
              <w:t>Nutrition &amp; Care</w:t>
            </w:r>
          </w:p>
        </w:tc>
        <w:tc>
          <w:tcPr>
            <w:tcW w:w="119" w:type="dxa"/>
            <w:vAlign w:val="bottom"/>
          </w:tcPr>
          <w:p w14:paraId="69FD46A0"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348B6183" w14:textId="77777777" w:rsidR="00E9166C" w:rsidRDefault="00E9166C" w:rsidP="00957225">
            <w:pPr>
              <w:pStyle w:val="TBodynormalNumber"/>
              <w:keepNext/>
            </w:pPr>
            <w:bookmarkStart w:id="101" w:name="SNAMD_55acf00694cf44ea974f93340198baca"/>
            <w:r>
              <w:t>5.295</w:t>
            </w:r>
            <w:bookmarkEnd w:id="101"/>
          </w:p>
        </w:tc>
        <w:tc>
          <w:tcPr>
            <w:tcW w:w="119" w:type="dxa"/>
            <w:vAlign w:val="bottom"/>
          </w:tcPr>
          <w:p w14:paraId="62289BF4"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4AF3D6C7" w14:textId="77777777" w:rsidR="00E9166C" w:rsidRDefault="00E9166C" w:rsidP="00957225">
            <w:pPr>
              <w:pStyle w:val="TBodynormalNumber"/>
              <w:keepNext/>
            </w:pPr>
            <w:bookmarkStart w:id="102" w:name="SNAMD_9d4bc45c9ef14f9ba014727ce1ac10f0"/>
            <w:r>
              <w:t>5.323</w:t>
            </w:r>
            <w:bookmarkEnd w:id="102"/>
          </w:p>
        </w:tc>
      </w:tr>
      <w:tr w:rsidR="00E9166C" w14:paraId="4B9F564D" w14:textId="77777777" w:rsidTr="00957225">
        <w:tc>
          <w:tcPr>
            <w:tcW w:w="7473" w:type="dxa"/>
            <w:tcBorders>
              <w:top w:val="single" w:sz="4" w:space="0" w:color="A59C94"/>
              <w:bottom w:val="single" w:sz="4" w:space="0" w:color="A59C94"/>
            </w:tcBorders>
            <w:vAlign w:val="bottom"/>
          </w:tcPr>
          <w:p w14:paraId="5671B8B2" w14:textId="77777777" w:rsidR="00E9166C" w:rsidRDefault="00E9166C" w:rsidP="00957225">
            <w:pPr>
              <w:pStyle w:val="TBodynormalText"/>
            </w:pPr>
            <w:r>
              <w:t>Smart Materials</w:t>
            </w:r>
          </w:p>
        </w:tc>
        <w:tc>
          <w:tcPr>
            <w:tcW w:w="119" w:type="dxa"/>
            <w:vAlign w:val="bottom"/>
          </w:tcPr>
          <w:p w14:paraId="63C77248"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75782A64" w14:textId="77777777" w:rsidR="00E9166C" w:rsidRDefault="00E9166C" w:rsidP="00957225">
            <w:pPr>
              <w:pStyle w:val="TBodynormalNumber"/>
              <w:keepNext/>
            </w:pPr>
            <w:bookmarkStart w:id="103" w:name="SNAMD_0083a77087ad458b91b41093057cb61c"/>
            <w:r>
              <w:t>7.874</w:t>
            </w:r>
            <w:bookmarkEnd w:id="103"/>
          </w:p>
        </w:tc>
        <w:tc>
          <w:tcPr>
            <w:tcW w:w="119" w:type="dxa"/>
            <w:vAlign w:val="bottom"/>
          </w:tcPr>
          <w:p w14:paraId="1DFF304C"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61EC91B9" w14:textId="77777777" w:rsidR="00E9166C" w:rsidRDefault="00E9166C" w:rsidP="00957225">
            <w:pPr>
              <w:pStyle w:val="TBodynormalNumber"/>
              <w:keepNext/>
            </w:pPr>
            <w:bookmarkStart w:id="104" w:name="SNAMD_f49e31ef6bfa445982363620e74d70eb"/>
            <w:r>
              <w:t>7.765</w:t>
            </w:r>
            <w:bookmarkEnd w:id="104"/>
          </w:p>
        </w:tc>
      </w:tr>
      <w:tr w:rsidR="00E9166C" w14:paraId="13B8F74B" w14:textId="77777777" w:rsidTr="00957225">
        <w:tc>
          <w:tcPr>
            <w:tcW w:w="7473" w:type="dxa"/>
            <w:tcBorders>
              <w:top w:val="single" w:sz="4" w:space="0" w:color="A59C94"/>
              <w:bottom w:val="single" w:sz="4" w:space="0" w:color="A59C94"/>
            </w:tcBorders>
            <w:vAlign w:val="bottom"/>
          </w:tcPr>
          <w:p w14:paraId="3ABE979F" w14:textId="77777777" w:rsidR="00E9166C" w:rsidRDefault="00E9166C" w:rsidP="00957225">
            <w:pPr>
              <w:pStyle w:val="TBodynormalText"/>
            </w:pPr>
            <w:r>
              <w:t>Performance Materials</w:t>
            </w:r>
          </w:p>
        </w:tc>
        <w:tc>
          <w:tcPr>
            <w:tcW w:w="119" w:type="dxa"/>
            <w:vAlign w:val="bottom"/>
          </w:tcPr>
          <w:p w14:paraId="3CCB8BD3"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67BFE80E" w14:textId="77777777" w:rsidR="00E9166C" w:rsidRDefault="00E9166C" w:rsidP="00957225">
            <w:pPr>
              <w:pStyle w:val="TBodynormalNumber"/>
              <w:keepNext/>
            </w:pPr>
            <w:bookmarkStart w:id="105" w:name="SNAMD_de769eccc37e4194b60b4caeb7eadf7a"/>
            <w:r>
              <w:t>1.798</w:t>
            </w:r>
            <w:bookmarkEnd w:id="105"/>
          </w:p>
        </w:tc>
        <w:tc>
          <w:tcPr>
            <w:tcW w:w="119" w:type="dxa"/>
            <w:vAlign w:val="bottom"/>
          </w:tcPr>
          <w:p w14:paraId="48364916"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659EAF53" w14:textId="77777777" w:rsidR="00E9166C" w:rsidRDefault="00E9166C" w:rsidP="00957225">
            <w:pPr>
              <w:pStyle w:val="TBodynormalNumber"/>
              <w:keepNext/>
            </w:pPr>
            <w:bookmarkStart w:id="106" w:name="SNAMD_61084fff7b814c79a3434d6447e889cd"/>
            <w:r>
              <w:t>1.791</w:t>
            </w:r>
            <w:bookmarkEnd w:id="106"/>
          </w:p>
        </w:tc>
      </w:tr>
      <w:tr w:rsidR="00E9166C" w14:paraId="45D87344" w14:textId="77777777" w:rsidTr="00957225">
        <w:tc>
          <w:tcPr>
            <w:tcW w:w="7473" w:type="dxa"/>
            <w:tcBorders>
              <w:top w:val="single" w:sz="4" w:space="0" w:color="A59C94"/>
              <w:bottom w:val="single" w:sz="4" w:space="0" w:color="A59C94"/>
            </w:tcBorders>
            <w:vAlign w:val="bottom"/>
          </w:tcPr>
          <w:p w14:paraId="39F3C08D" w14:textId="77777777" w:rsidR="00E9166C" w:rsidRDefault="00E9166C" w:rsidP="00957225">
            <w:pPr>
              <w:pStyle w:val="TBodynormalText"/>
            </w:pPr>
            <w:bookmarkStart w:id="107" w:name="SNAMD_2a0444b1e05244b5ad87de52a3c885b5"/>
            <w:r>
              <w:t>Technology &amp; Infrastructure</w:t>
            </w:r>
            <w:bookmarkEnd w:id="107"/>
          </w:p>
        </w:tc>
        <w:tc>
          <w:tcPr>
            <w:tcW w:w="119" w:type="dxa"/>
            <w:vAlign w:val="bottom"/>
          </w:tcPr>
          <w:p w14:paraId="572EC5ED" w14:textId="77777777" w:rsidR="00E9166C" w:rsidRDefault="00E9166C" w:rsidP="00957225">
            <w:pPr>
              <w:pStyle w:val="TBodynormalNumber"/>
              <w:keepNext/>
            </w:pPr>
          </w:p>
        </w:tc>
        <w:tc>
          <w:tcPr>
            <w:tcW w:w="1021" w:type="dxa"/>
            <w:tcBorders>
              <w:top w:val="single" w:sz="4" w:space="0" w:color="A59C94"/>
              <w:bottom w:val="single" w:sz="4" w:space="0" w:color="A59C94"/>
            </w:tcBorders>
            <w:vAlign w:val="bottom"/>
          </w:tcPr>
          <w:p w14:paraId="386BF3BC" w14:textId="77777777" w:rsidR="00E9166C" w:rsidRDefault="00E9166C" w:rsidP="00957225">
            <w:pPr>
              <w:pStyle w:val="TBodynormalNumber"/>
              <w:keepNext/>
            </w:pPr>
            <w:bookmarkStart w:id="108" w:name="SNAMD_da1fefbbc80e438d89dc5868bb9afc6f"/>
            <w:r>
              <w:t>8.711</w:t>
            </w:r>
            <w:bookmarkEnd w:id="108"/>
          </w:p>
        </w:tc>
        <w:tc>
          <w:tcPr>
            <w:tcW w:w="119" w:type="dxa"/>
            <w:vAlign w:val="bottom"/>
          </w:tcPr>
          <w:p w14:paraId="20723696"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58A4D050" w14:textId="77777777" w:rsidR="00E9166C" w:rsidRDefault="00E9166C" w:rsidP="00957225">
            <w:pPr>
              <w:pStyle w:val="TBodynormalNumber"/>
              <w:keepNext/>
            </w:pPr>
            <w:bookmarkStart w:id="109" w:name="SNAMD_081821f70a5a4948bad719b0f23a379c"/>
            <w:r>
              <w:t>8.413</w:t>
            </w:r>
            <w:bookmarkEnd w:id="109"/>
          </w:p>
        </w:tc>
      </w:tr>
      <w:tr w:rsidR="00E9166C" w14:paraId="2FF39E5E" w14:textId="77777777" w:rsidTr="00957225">
        <w:tc>
          <w:tcPr>
            <w:tcW w:w="7473" w:type="dxa"/>
            <w:tcBorders>
              <w:top w:val="single" w:sz="4" w:space="0" w:color="A59C94"/>
              <w:bottom w:val="single" w:sz="4" w:space="0" w:color="A59C94"/>
            </w:tcBorders>
            <w:vAlign w:val="bottom"/>
          </w:tcPr>
          <w:p w14:paraId="1BCAC841" w14:textId="77777777" w:rsidR="00E9166C" w:rsidRPr="00AB2025" w:rsidRDefault="00E9166C" w:rsidP="00957225">
            <w:pPr>
              <w:pStyle w:val="TBodynormalText"/>
              <w:rPr>
                <w:lang w:val="en-US"/>
              </w:rPr>
            </w:pPr>
            <w:bookmarkStart w:id="110" w:name="SNAMD_7228148941f44a91ba87ac7f6ca65a88"/>
            <w:r w:rsidRPr="00AB2025">
              <w:rPr>
                <w:lang w:val="en-US"/>
              </w:rPr>
              <w:t xml:space="preserve">Enabling Functions, Other Activities, </w:t>
            </w:r>
            <w:proofErr w:type="spellStart"/>
            <w:r w:rsidRPr="00AB2025">
              <w:rPr>
                <w:lang w:val="en-US"/>
              </w:rPr>
              <w:t>Konsolidierung</w:t>
            </w:r>
            <w:bookmarkEnd w:id="110"/>
            <w:proofErr w:type="spellEnd"/>
          </w:p>
        </w:tc>
        <w:tc>
          <w:tcPr>
            <w:tcW w:w="119" w:type="dxa"/>
            <w:vAlign w:val="bottom"/>
          </w:tcPr>
          <w:p w14:paraId="4D712334" w14:textId="77777777" w:rsidR="00E9166C" w:rsidRPr="00AB2025" w:rsidRDefault="00E9166C" w:rsidP="00957225">
            <w:pPr>
              <w:pStyle w:val="TBodynormalNumber"/>
              <w:keepNext/>
              <w:rPr>
                <w:lang w:val="en-US"/>
              </w:rPr>
            </w:pPr>
          </w:p>
        </w:tc>
        <w:tc>
          <w:tcPr>
            <w:tcW w:w="1021" w:type="dxa"/>
            <w:tcBorders>
              <w:top w:val="single" w:sz="4" w:space="0" w:color="A59C94"/>
              <w:bottom w:val="single" w:sz="4" w:space="0" w:color="A59C94"/>
            </w:tcBorders>
            <w:vAlign w:val="bottom"/>
          </w:tcPr>
          <w:p w14:paraId="08606792" w14:textId="77777777" w:rsidR="00E9166C" w:rsidRDefault="00E9166C" w:rsidP="00957225">
            <w:pPr>
              <w:pStyle w:val="TBodynormalNumber"/>
              <w:keepNext/>
            </w:pPr>
            <w:bookmarkStart w:id="111" w:name="SNAMD_cde3b99728b14a69811555a9b9668430"/>
            <w:r>
              <w:t>5.762</w:t>
            </w:r>
            <w:bookmarkEnd w:id="111"/>
          </w:p>
        </w:tc>
        <w:tc>
          <w:tcPr>
            <w:tcW w:w="119" w:type="dxa"/>
            <w:vAlign w:val="bottom"/>
          </w:tcPr>
          <w:p w14:paraId="7572122B" w14:textId="77777777" w:rsidR="00E9166C" w:rsidRDefault="00E9166C" w:rsidP="00957225">
            <w:pPr>
              <w:pStyle w:val="TBodynormalNumber"/>
              <w:keepNext/>
            </w:pPr>
          </w:p>
        </w:tc>
        <w:tc>
          <w:tcPr>
            <w:tcW w:w="1021" w:type="dxa"/>
            <w:tcBorders>
              <w:top w:val="single" w:sz="4" w:space="0" w:color="A59C94"/>
              <w:bottom w:val="single" w:sz="4" w:space="0" w:color="A59C94"/>
            </w:tcBorders>
            <w:shd w:val="clear" w:color="000000" w:fill="DAD5C9"/>
            <w:vAlign w:val="bottom"/>
          </w:tcPr>
          <w:p w14:paraId="342FFC6D" w14:textId="77777777" w:rsidR="00E9166C" w:rsidRDefault="00E9166C" w:rsidP="00957225">
            <w:pPr>
              <w:pStyle w:val="TBodynormalNumber"/>
              <w:keepNext/>
            </w:pPr>
            <w:bookmarkStart w:id="112" w:name="SNAMD_be921ac868fb4589bec40a0f32ff369f"/>
            <w:r>
              <w:t>5.689</w:t>
            </w:r>
            <w:bookmarkEnd w:id="112"/>
          </w:p>
        </w:tc>
      </w:tr>
      <w:tr w:rsidR="00E9166C" w14:paraId="78AAFA32" w14:textId="77777777" w:rsidTr="00957225">
        <w:tc>
          <w:tcPr>
            <w:tcW w:w="7473" w:type="dxa"/>
            <w:tcBorders>
              <w:top w:val="single" w:sz="4" w:space="0" w:color="A59C94"/>
              <w:bottom w:val="single" w:sz="16" w:space="0" w:color="991D85"/>
            </w:tcBorders>
            <w:vAlign w:val="bottom"/>
          </w:tcPr>
          <w:p w14:paraId="300F3B8A" w14:textId="77777777" w:rsidR="00E9166C" w:rsidRDefault="00E9166C" w:rsidP="00957225">
            <w:pPr>
              <w:pStyle w:val="TBodytotalText"/>
            </w:pPr>
            <w:r>
              <w:t>Konzern</w:t>
            </w:r>
          </w:p>
        </w:tc>
        <w:tc>
          <w:tcPr>
            <w:tcW w:w="119" w:type="dxa"/>
            <w:tcBorders>
              <w:bottom w:val="single" w:sz="16" w:space="0" w:color="991D85"/>
            </w:tcBorders>
            <w:vAlign w:val="bottom"/>
          </w:tcPr>
          <w:p w14:paraId="536BEA3C" w14:textId="77777777" w:rsidR="00E9166C" w:rsidRDefault="00E9166C" w:rsidP="00957225">
            <w:pPr>
              <w:pStyle w:val="TBodytotalNumber"/>
            </w:pPr>
          </w:p>
        </w:tc>
        <w:tc>
          <w:tcPr>
            <w:tcW w:w="1021" w:type="dxa"/>
            <w:tcBorders>
              <w:top w:val="single" w:sz="4" w:space="0" w:color="A59C94"/>
              <w:bottom w:val="single" w:sz="16" w:space="0" w:color="991D85"/>
            </w:tcBorders>
            <w:vAlign w:val="bottom"/>
          </w:tcPr>
          <w:p w14:paraId="6E05D61D" w14:textId="77777777" w:rsidR="00E9166C" w:rsidRDefault="00E9166C" w:rsidP="00957225">
            <w:pPr>
              <w:pStyle w:val="TBodytotalNumber"/>
            </w:pPr>
            <w:bookmarkStart w:id="113" w:name="SNAMD_8dcfa862a13745efb72f6548be2d2de6"/>
            <w:r>
              <w:t>33.106</w:t>
            </w:r>
            <w:bookmarkEnd w:id="113"/>
          </w:p>
        </w:tc>
        <w:tc>
          <w:tcPr>
            <w:tcW w:w="119" w:type="dxa"/>
            <w:tcBorders>
              <w:bottom w:val="single" w:sz="16" w:space="0" w:color="991D85"/>
            </w:tcBorders>
            <w:vAlign w:val="bottom"/>
          </w:tcPr>
          <w:p w14:paraId="70F3F9F6" w14:textId="77777777" w:rsidR="00E9166C" w:rsidRDefault="00E9166C" w:rsidP="00957225">
            <w:pPr>
              <w:pStyle w:val="TBodytotalNumber"/>
            </w:pPr>
          </w:p>
        </w:tc>
        <w:tc>
          <w:tcPr>
            <w:tcW w:w="1021" w:type="dxa"/>
            <w:tcBorders>
              <w:top w:val="single" w:sz="4" w:space="0" w:color="A59C94"/>
              <w:bottom w:val="single" w:sz="16" w:space="0" w:color="991D85"/>
            </w:tcBorders>
            <w:shd w:val="clear" w:color="000000" w:fill="DAD5C9"/>
            <w:vAlign w:val="bottom"/>
          </w:tcPr>
          <w:p w14:paraId="5AC95411" w14:textId="77777777" w:rsidR="00E9166C" w:rsidRDefault="00E9166C" w:rsidP="00957225">
            <w:pPr>
              <w:pStyle w:val="TBodytotalNumber"/>
            </w:pPr>
            <w:bookmarkStart w:id="114" w:name="SNAMD_2f0f877f31de4ecb9b2cc113c213516a"/>
            <w:r>
              <w:t>32.661</w:t>
            </w:r>
            <w:bookmarkEnd w:id="114"/>
          </w:p>
        </w:tc>
      </w:tr>
      <w:bookmarkEnd w:id="98"/>
    </w:tbl>
    <w:p w14:paraId="2794CFAD" w14:textId="77777777" w:rsidR="00E9166C" w:rsidRDefault="00E9166C" w:rsidP="00E9581C"/>
    <w:p w14:paraId="797D37F5" w14:textId="7091091F" w:rsidR="00A346B9" w:rsidRDefault="00A346B9" w:rsidP="00E9581C"/>
    <w:p w14:paraId="0717E36D" w14:textId="3527BEC2" w:rsidR="00BF6A31" w:rsidRDefault="00BF6A31" w:rsidP="00E9581C"/>
    <w:p w14:paraId="50CDD65E" w14:textId="03A5AF57" w:rsidR="00BF6A31" w:rsidRDefault="00BF6A31" w:rsidP="00E9581C"/>
    <w:p w14:paraId="06445242" w14:textId="0614638E" w:rsidR="00BF6A31" w:rsidRDefault="00BF6A31" w:rsidP="00E9581C"/>
    <w:p w14:paraId="573BED31" w14:textId="310749E4" w:rsidR="00BF6A31" w:rsidRDefault="00BF6A31" w:rsidP="00E9581C"/>
    <w:p w14:paraId="7FAA888A" w14:textId="4C4518BB" w:rsidR="00BF6A31" w:rsidRDefault="00BF6A31" w:rsidP="00E9581C"/>
    <w:p w14:paraId="11D2AEDB" w14:textId="5A8AB0C5" w:rsidR="00BF6A31" w:rsidRDefault="00BF6A31" w:rsidP="00E9581C"/>
    <w:p w14:paraId="15AC4BA9" w14:textId="0DDF60EC" w:rsidR="00BF6A31" w:rsidRDefault="00BF6A31" w:rsidP="00E9581C"/>
    <w:p w14:paraId="4D95FEFF" w14:textId="0E645E7F" w:rsidR="00BF6A31" w:rsidRDefault="00BF6A31" w:rsidP="00E9581C"/>
    <w:p w14:paraId="3B89EA28" w14:textId="34E8C6F7" w:rsidR="00BF6A31" w:rsidRDefault="00BF6A31" w:rsidP="00E9581C"/>
    <w:p w14:paraId="6125C1AD" w14:textId="008402C9" w:rsidR="00BF6A31" w:rsidRDefault="00BF6A31" w:rsidP="00E9581C"/>
    <w:p w14:paraId="636B92F0" w14:textId="30F0EAB0" w:rsidR="00BF6A31" w:rsidRDefault="00BF6A31" w:rsidP="00E9581C"/>
    <w:p w14:paraId="25683DA7" w14:textId="2B11EFBC" w:rsidR="00BF6A31" w:rsidRDefault="00BF6A31" w:rsidP="00E9581C"/>
    <w:p w14:paraId="6A26BE62" w14:textId="77777777" w:rsidR="00BF6A31" w:rsidRDefault="00BF6A31" w:rsidP="00E9581C"/>
    <w:p w14:paraId="3C13685A" w14:textId="4F970A87" w:rsidR="00A346B9" w:rsidRDefault="00A346B9" w:rsidP="00E9581C"/>
    <w:p w14:paraId="707BC1F8" w14:textId="56CD3AA2" w:rsidR="00A346B9" w:rsidRDefault="00A346B9" w:rsidP="00E9581C"/>
    <w:p w14:paraId="7A5139B7" w14:textId="77777777" w:rsidR="00904271" w:rsidRDefault="00904271" w:rsidP="00904271">
      <w:pPr>
        <w:spacing w:line="240" w:lineRule="auto"/>
        <w:rPr>
          <w:rFonts w:cs="Lucida Sans Unicode"/>
          <w:b/>
          <w:bCs/>
          <w:sz w:val="18"/>
          <w:szCs w:val="18"/>
        </w:rPr>
      </w:pPr>
      <w:r>
        <w:rPr>
          <w:rFonts w:cs="Lucida Sans Unicode"/>
          <w:b/>
          <w:bCs/>
          <w:sz w:val="18"/>
          <w:szCs w:val="18"/>
        </w:rPr>
        <w:t xml:space="preserve">Informationen zum Konzern </w:t>
      </w:r>
    </w:p>
    <w:p w14:paraId="19202CB3" w14:textId="77777777" w:rsidR="00904271" w:rsidRDefault="00904271" w:rsidP="00904271">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2020</w:t>
      </w:r>
      <w:r w:rsidRPr="007D5CD9">
        <w:rPr>
          <w:rFonts w:cs="Lucida Sans Unicode"/>
          <w:bCs/>
          <w:sz w:val="18"/>
          <w:szCs w:val="18"/>
        </w:rPr>
        <w:t xml:space="preserve"> einen Umsatz von</w:t>
      </w:r>
    </w:p>
    <w:p w14:paraId="025F9564" w14:textId="77777777" w:rsidR="00904271" w:rsidRPr="007D5CD9" w:rsidRDefault="00904271" w:rsidP="00904271">
      <w:pPr>
        <w:autoSpaceDE w:val="0"/>
        <w:autoSpaceDN w:val="0"/>
        <w:adjustRightInd w:val="0"/>
        <w:spacing w:line="220" w:lineRule="exact"/>
        <w:rPr>
          <w:rFonts w:cs="Lucida Sans Unicode"/>
          <w:bCs/>
          <w:sz w:val="18"/>
          <w:szCs w:val="18"/>
        </w:rPr>
      </w:pPr>
      <w:r w:rsidRPr="007D5CD9">
        <w:rPr>
          <w:rFonts w:cs="Lucida Sans Unicode"/>
          <w:bCs/>
          <w:sz w:val="18"/>
          <w:szCs w:val="18"/>
        </w:rPr>
        <w:t>1</w:t>
      </w:r>
      <w:r>
        <w:rPr>
          <w:rFonts w:cs="Lucida Sans Unicode"/>
          <w:bCs/>
          <w:sz w:val="18"/>
          <w:szCs w:val="18"/>
        </w:rPr>
        <w:t>2,2</w:t>
      </w:r>
      <w:r w:rsidRPr="007D5CD9">
        <w:rPr>
          <w:rFonts w:cs="Lucida Sans Unicode"/>
          <w:bCs/>
          <w:sz w:val="18"/>
          <w:szCs w:val="18"/>
        </w:rPr>
        <w:t xml:space="preserve"> Mrd. € und einen Gewinn (bereinigtes EBITDA) von </w:t>
      </w:r>
      <w:r>
        <w:rPr>
          <w:rFonts w:cs="Lucida Sans Unicode"/>
          <w:bCs/>
          <w:sz w:val="18"/>
          <w:szCs w:val="18"/>
        </w:rPr>
        <w:t>1,91</w:t>
      </w:r>
      <w:r w:rsidRPr="007D5CD9">
        <w:rPr>
          <w:rFonts w:cs="Lucida Sans Unicode"/>
          <w:bCs/>
          <w:sz w:val="18"/>
          <w:szCs w:val="18"/>
        </w:rPr>
        <w:t xml:space="preserve"> Mrd. €. Dabei geht Evonik weit über die Chemie hinaus, um den Kunden innovative, wertbringende und nachhaltige Lösungen zu schaffen. </w:t>
      </w:r>
      <w:r w:rsidRPr="00EB41B6">
        <w:rPr>
          <w:rFonts w:cs="Lucida Sans Unicode"/>
          <w:bCs/>
          <w:sz w:val="18"/>
          <w:szCs w:val="18"/>
        </w:rPr>
        <w:t>Rund 33.000 Mitarbeiter</w:t>
      </w:r>
      <w:r w:rsidRPr="007D5CD9">
        <w:rPr>
          <w:rFonts w:cs="Lucida Sans Unicode"/>
          <w:bCs/>
          <w:sz w:val="18"/>
          <w:szCs w:val="18"/>
        </w:rPr>
        <w:t xml:space="preserve"> verbindet dabei ein gemeinsamer Antrieb: Wir wollen das Leben besser machen, Tag für Tag.</w:t>
      </w:r>
    </w:p>
    <w:p w14:paraId="27F2BFF2" w14:textId="77777777" w:rsidR="00904271" w:rsidRDefault="00904271" w:rsidP="00904271">
      <w:pPr>
        <w:rPr>
          <w:sz w:val="18"/>
          <w:szCs w:val="18"/>
        </w:rPr>
      </w:pPr>
    </w:p>
    <w:p w14:paraId="26BA7D9C" w14:textId="77777777" w:rsidR="00904271" w:rsidRDefault="00904271" w:rsidP="00904271">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5B719A38" w14:textId="77777777" w:rsidR="00904271" w:rsidRDefault="00904271" w:rsidP="00904271">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IR News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30363A4D" w14:textId="77777777" w:rsidR="00904271" w:rsidRDefault="00904271" w:rsidP="00904271">
      <w:pPr>
        <w:spacing w:line="240" w:lineRule="auto"/>
        <w:rPr>
          <w:rFonts w:cs="Lucida Sans Unicode"/>
          <w:sz w:val="18"/>
          <w:szCs w:val="18"/>
        </w:rPr>
      </w:pPr>
    </w:p>
    <w:p w14:paraId="36801DF9" w14:textId="77777777" w:rsidR="00E9581C" w:rsidRPr="000B1B97" w:rsidRDefault="00E9581C" w:rsidP="00E9581C">
      <w:pPr>
        <w:rPr>
          <w:rFonts w:cs="Lucida Sans Unicode"/>
          <w:sz w:val="18"/>
          <w:szCs w:val="18"/>
        </w:rPr>
      </w:pPr>
    </w:p>
    <w:sectPr w:rsidR="00E9581C" w:rsidRPr="000B1B97" w:rsidSect="004E0A3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499F" w14:textId="77777777" w:rsidR="00EA78A4" w:rsidRDefault="00EA78A4" w:rsidP="00FD1184">
      <w:r>
        <w:separator/>
      </w:r>
    </w:p>
  </w:endnote>
  <w:endnote w:type="continuationSeparator" w:id="0">
    <w:p w14:paraId="1D0B1C26" w14:textId="77777777" w:rsidR="00EA78A4" w:rsidRDefault="00EA78A4" w:rsidP="00FD1184">
      <w:r>
        <w:continuationSeparator/>
      </w:r>
    </w:p>
  </w:endnote>
  <w:endnote w:type="continuationNotice" w:id="1">
    <w:p w14:paraId="12823950" w14:textId="77777777" w:rsidR="00EA78A4" w:rsidRDefault="00EA78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panose1 w:val="00000500000000000000"/>
    <w:charset w:val="00"/>
    <w:family w:val="modern"/>
    <w:notTrueType/>
    <w:pitch w:val="variable"/>
    <w:sig w:usb0="20000007" w:usb1="00000001" w:usb2="00000000" w:usb3="00000000" w:csb0="00000193" w:csb1="00000000"/>
  </w:font>
  <w:font w:name="Evonik Prokyon Medium">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6C7" w14:textId="77777777"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192C4" w14:textId="77777777" w:rsidR="00EA78A4" w:rsidRDefault="00EA78A4" w:rsidP="00FD1184">
      <w:r>
        <w:separator/>
      </w:r>
    </w:p>
  </w:footnote>
  <w:footnote w:type="continuationSeparator" w:id="0">
    <w:p w14:paraId="4E8AFA1F" w14:textId="77777777" w:rsidR="00EA78A4" w:rsidRDefault="00EA78A4" w:rsidP="00FD1184">
      <w:r>
        <w:continuationSeparator/>
      </w:r>
    </w:p>
  </w:footnote>
  <w:footnote w:type="continuationNotice" w:id="1">
    <w:p w14:paraId="556EDEAF" w14:textId="77777777" w:rsidR="00EA78A4" w:rsidRDefault="00EA78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8241"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61F8" w14:textId="30B9C005" w:rsidR="00EA696B" w:rsidRPr="006C35A6" w:rsidRDefault="00EA696B">
    <w:pPr>
      <w:pStyle w:val="Kopfzeile"/>
      <w:rPr>
        <w:b/>
        <w:sz w:val="2"/>
        <w:szCs w:val="2"/>
      </w:rPr>
    </w:pPr>
    <w:r>
      <w:rPr>
        <w:noProof/>
      </w:rPr>
      <w:drawing>
        <wp:anchor distT="0" distB="0" distL="114300" distR="114300" simplePos="0" relativeHeight="251658240"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1DEA"/>
    <w:rsid w:val="00084555"/>
    <w:rsid w:val="000846DA"/>
    <w:rsid w:val="00086556"/>
    <w:rsid w:val="000902FA"/>
    <w:rsid w:val="00092F83"/>
    <w:rsid w:val="00095408"/>
    <w:rsid w:val="000A0D0A"/>
    <w:rsid w:val="000A0DDB"/>
    <w:rsid w:val="000A2297"/>
    <w:rsid w:val="000A4BC1"/>
    <w:rsid w:val="000A7091"/>
    <w:rsid w:val="000B1B97"/>
    <w:rsid w:val="000B4D73"/>
    <w:rsid w:val="000D0476"/>
    <w:rsid w:val="000D1A4C"/>
    <w:rsid w:val="000D1DD8"/>
    <w:rsid w:val="000E06AB"/>
    <w:rsid w:val="000E0D1F"/>
    <w:rsid w:val="000F262F"/>
    <w:rsid w:val="000F47EF"/>
    <w:rsid w:val="000F53ED"/>
    <w:rsid w:val="000F70A3"/>
    <w:rsid w:val="0010109B"/>
    <w:rsid w:val="00102E05"/>
    <w:rsid w:val="00110640"/>
    <w:rsid w:val="001175D3"/>
    <w:rsid w:val="00121D9E"/>
    <w:rsid w:val="00124443"/>
    <w:rsid w:val="001245F1"/>
    <w:rsid w:val="00124FF3"/>
    <w:rsid w:val="0012628E"/>
    <w:rsid w:val="00130512"/>
    <w:rsid w:val="001407DF"/>
    <w:rsid w:val="00141B2B"/>
    <w:rsid w:val="001549E3"/>
    <w:rsid w:val="00160AB9"/>
    <w:rsid w:val="001624E7"/>
    <w:rsid w:val="001625AF"/>
    <w:rsid w:val="001631E8"/>
    <w:rsid w:val="00165932"/>
    <w:rsid w:val="0017309F"/>
    <w:rsid w:val="0017414F"/>
    <w:rsid w:val="00193955"/>
    <w:rsid w:val="00196518"/>
    <w:rsid w:val="001A3834"/>
    <w:rsid w:val="001B206A"/>
    <w:rsid w:val="001B2FC7"/>
    <w:rsid w:val="001C3B2E"/>
    <w:rsid w:val="001D1198"/>
    <w:rsid w:val="001E1910"/>
    <w:rsid w:val="001F00B7"/>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D0522"/>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56AFC"/>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55124"/>
    <w:rsid w:val="00461471"/>
    <w:rsid w:val="00470C0A"/>
    <w:rsid w:val="00476F6F"/>
    <w:rsid w:val="0047761E"/>
    <w:rsid w:val="0048125C"/>
    <w:rsid w:val="004815AA"/>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1269"/>
    <w:rsid w:val="005225B7"/>
    <w:rsid w:val="005225EC"/>
    <w:rsid w:val="005250AE"/>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0377"/>
    <w:rsid w:val="00623460"/>
    <w:rsid w:val="006338F8"/>
    <w:rsid w:val="006347D7"/>
    <w:rsid w:val="00636C35"/>
    <w:rsid w:val="006436AC"/>
    <w:rsid w:val="00644E39"/>
    <w:rsid w:val="00645F2F"/>
    <w:rsid w:val="00647919"/>
    <w:rsid w:val="00651F1E"/>
    <w:rsid w:val="00652A75"/>
    <w:rsid w:val="00654DEA"/>
    <w:rsid w:val="00660CD5"/>
    <w:rsid w:val="006651E2"/>
    <w:rsid w:val="006709F9"/>
    <w:rsid w:val="006729D2"/>
    <w:rsid w:val="00686130"/>
    <w:rsid w:val="00691BAF"/>
    <w:rsid w:val="00696594"/>
    <w:rsid w:val="0069676A"/>
    <w:rsid w:val="006A1832"/>
    <w:rsid w:val="006A4A3D"/>
    <w:rsid w:val="006A581A"/>
    <w:rsid w:val="006C35A6"/>
    <w:rsid w:val="006C388A"/>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70037"/>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4271"/>
    <w:rsid w:val="0090621C"/>
    <w:rsid w:val="00915982"/>
    <w:rsid w:val="0091643A"/>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46B9"/>
    <w:rsid w:val="00A3644E"/>
    <w:rsid w:val="00A41C88"/>
    <w:rsid w:val="00A42607"/>
    <w:rsid w:val="00A50E27"/>
    <w:rsid w:val="00A51F6A"/>
    <w:rsid w:val="00A5591C"/>
    <w:rsid w:val="00A56EA9"/>
    <w:rsid w:val="00A6056D"/>
    <w:rsid w:val="00A60CE5"/>
    <w:rsid w:val="00A67C52"/>
    <w:rsid w:val="00A70C5E"/>
    <w:rsid w:val="00A712B8"/>
    <w:rsid w:val="00A777B7"/>
    <w:rsid w:val="00A811A2"/>
    <w:rsid w:val="00A8155A"/>
    <w:rsid w:val="00A81F2D"/>
    <w:rsid w:val="00A82F9D"/>
    <w:rsid w:val="00A833A7"/>
    <w:rsid w:val="00AA0DDF"/>
    <w:rsid w:val="00AB72BD"/>
    <w:rsid w:val="00AB766F"/>
    <w:rsid w:val="00AC2054"/>
    <w:rsid w:val="00AE3848"/>
    <w:rsid w:val="00AF0606"/>
    <w:rsid w:val="00B128FD"/>
    <w:rsid w:val="00B14FE2"/>
    <w:rsid w:val="00B2025B"/>
    <w:rsid w:val="00B24B96"/>
    <w:rsid w:val="00B2500C"/>
    <w:rsid w:val="00B300C4"/>
    <w:rsid w:val="00B31D5A"/>
    <w:rsid w:val="00B340EB"/>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6A31"/>
    <w:rsid w:val="00BF70B0"/>
    <w:rsid w:val="00BF7733"/>
    <w:rsid w:val="00C07409"/>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1EB9"/>
    <w:rsid w:val="00D129CF"/>
    <w:rsid w:val="00D16B6A"/>
    <w:rsid w:val="00D303E0"/>
    <w:rsid w:val="00D32AEC"/>
    <w:rsid w:val="00D333AA"/>
    <w:rsid w:val="00D3548D"/>
    <w:rsid w:val="00D35567"/>
    <w:rsid w:val="00D36822"/>
    <w:rsid w:val="00D4045E"/>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37BBF"/>
    <w:rsid w:val="00E430EA"/>
    <w:rsid w:val="00E44B62"/>
    <w:rsid w:val="00E541EA"/>
    <w:rsid w:val="00E604E9"/>
    <w:rsid w:val="00E67325"/>
    <w:rsid w:val="00E67709"/>
    <w:rsid w:val="00E74CF9"/>
    <w:rsid w:val="00E8576B"/>
    <w:rsid w:val="00E9166C"/>
    <w:rsid w:val="00E9581C"/>
    <w:rsid w:val="00E97290"/>
    <w:rsid w:val="00EA696B"/>
    <w:rsid w:val="00EA6FD1"/>
    <w:rsid w:val="00EA78A4"/>
    <w:rsid w:val="00EB0C3E"/>
    <w:rsid w:val="00EB75E1"/>
    <w:rsid w:val="00EC012C"/>
    <w:rsid w:val="00EC13F1"/>
    <w:rsid w:val="00EC1DFB"/>
    <w:rsid w:val="00EC2C4D"/>
    <w:rsid w:val="00EC4981"/>
    <w:rsid w:val="00ED11AA"/>
    <w:rsid w:val="00ED4A2D"/>
    <w:rsid w:val="00EE08B3"/>
    <w:rsid w:val="00EE127E"/>
    <w:rsid w:val="00EE3816"/>
    <w:rsid w:val="00EE6048"/>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26C6"/>
    <w:rsid w:val="00F94E80"/>
    <w:rsid w:val="00FA151A"/>
    <w:rsid w:val="00FA30D7"/>
    <w:rsid w:val="00FA5164"/>
    <w:rsid w:val="00FA5F5C"/>
    <w:rsid w:val="00FA6612"/>
    <w:rsid w:val="00FD0461"/>
    <w:rsid w:val="00FD1184"/>
    <w:rsid w:val="00FE4393"/>
    <w:rsid w:val="00FE676A"/>
    <w:rsid w:val="00FE6B7E"/>
    <w:rsid w:val="00FE6F62"/>
    <w:rsid w:val="00FF2A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 w:type="paragraph" w:customStyle="1" w:styleId="SNEvonikStandard">
    <w:name w:val="_SN_Evonik Standard"/>
    <w:basedOn w:val="Standard"/>
    <w:link w:val="SNEvonikStandardZchn"/>
    <w:uiPriority w:val="99"/>
    <w:qFormat/>
    <w:rsid w:val="00904271"/>
    <w:pPr>
      <w:spacing w:line="300" w:lineRule="atLeast"/>
      <w:ind w:firstLine="284"/>
      <w:jc w:val="both"/>
    </w:pPr>
    <w:rPr>
      <w:rFonts w:ascii="Evonik Prokyon" w:hAnsi="Evonik Prokyon"/>
      <w:sz w:val="18"/>
      <w:szCs w:val="20"/>
      <w:lang w:eastAsia="en-US"/>
    </w:rPr>
  </w:style>
  <w:style w:type="character" w:customStyle="1" w:styleId="SNEvonikStandardZchn">
    <w:name w:val="_SN_Evonik Standard Zchn"/>
    <w:link w:val="SNEvonikStandard"/>
    <w:uiPriority w:val="99"/>
    <w:locked/>
    <w:rsid w:val="00904271"/>
    <w:rPr>
      <w:rFonts w:ascii="Evonik Prokyon" w:hAnsi="Evonik Prokyo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210805_IR News Q2 2021_DE</Description0>
    <DocumentTitle xmlns="3900a7cd-735b-4f56-a6f4-08d139dd6cc3">210805_IR News Q2 2021_DE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ED9A991B-DF19-41F5-868A-0091C81C0096}">
  <ds:schemaRefs>
    <ds:schemaRef ds:uri="http://schemas.openxmlformats.org/officeDocument/2006/bibliography"/>
  </ds:schemaRefs>
</ds:datastoreItem>
</file>

<file path=customXml/itemProps2.xml><?xml version="1.0" encoding="utf-8"?>
<ds:datastoreItem xmlns:ds="http://schemas.openxmlformats.org/officeDocument/2006/customXml" ds:itemID="{7649C467-3A7A-40C5-909C-0418B8F3E133}"/>
</file>

<file path=customXml/itemProps3.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4.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7569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Gayk, Katharina</cp:lastModifiedBy>
  <cp:revision>21</cp:revision>
  <cp:lastPrinted>2021-08-04T13:03:00Z</cp:lastPrinted>
  <dcterms:created xsi:type="dcterms:W3CDTF">2021-05-05T12:40:00Z</dcterms:created>
  <dcterms:modified xsi:type="dcterms:W3CDTF">2021-08-04T13:03:00Z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2021-05-05T12:40:43Z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554ad036-c658-4402-99fb-24f9f4e54331</vt:lpwstr>
  </property>
  <property fmtid="{D5CDD505-2E9C-101B-9397-08002B2CF9AE}" pid="9" name="MSIP_Label_18096688-517a-4098-8c5c-96839cb46b00_ContentBits">
    <vt:lpwstr>2</vt:lpwstr>
  </property>
</Properties>
</file>