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0B1B97" w:rsidRPr="00344D49" w:rsidTr="002159BA">
        <w:trPr>
          <w:trHeight w:val="851"/>
        </w:trPr>
        <w:tc>
          <w:tcPr>
            <w:tcW w:w="2552" w:type="dxa"/>
            <w:shd w:val="clear" w:color="auto" w:fill="auto"/>
          </w:tcPr>
          <w:p w:rsidR="000B1B97" w:rsidRPr="00EE72D7" w:rsidRDefault="00C54A2A" w:rsidP="000B1B97">
            <w:pPr>
              <w:pStyle w:val="M8"/>
              <w:framePr w:wrap="auto" w:vAnchor="margin" w:hAnchor="text" w:xAlign="left" w:yAlign="inline"/>
              <w:suppressOverlap w:val="0"/>
              <w:rPr>
                <w:sz w:val="18"/>
                <w:szCs w:val="18"/>
                <w:lang w:val="en-US"/>
              </w:rPr>
            </w:pPr>
            <w:r w:rsidRPr="00EE72D7">
              <w:rPr>
                <w:sz w:val="18"/>
                <w:szCs w:val="18"/>
                <w:lang w:val="en-US"/>
              </w:rPr>
              <w:t>21. April 2017</w:t>
            </w:r>
          </w:p>
          <w:p w:rsidR="000B1B97" w:rsidRPr="00EE72D7" w:rsidRDefault="000B1B97" w:rsidP="000B1B97">
            <w:pPr>
              <w:pStyle w:val="M8"/>
              <w:framePr w:wrap="auto" w:vAnchor="margin" w:hAnchor="text" w:xAlign="left" w:yAlign="inline"/>
              <w:suppressOverlap w:val="0"/>
              <w:rPr>
                <w:b/>
                <w:lang w:val="en-US"/>
              </w:rPr>
            </w:pPr>
          </w:p>
          <w:p w:rsidR="000B1B97" w:rsidRPr="00EE72D7" w:rsidRDefault="000B1B97" w:rsidP="000B1B97">
            <w:pPr>
              <w:pStyle w:val="M8"/>
              <w:framePr w:wrap="auto" w:vAnchor="margin" w:hAnchor="text" w:xAlign="left" w:yAlign="inline"/>
              <w:suppressOverlap w:val="0"/>
              <w:rPr>
                <w:b/>
                <w:lang w:val="en-US"/>
              </w:rPr>
            </w:pPr>
          </w:p>
          <w:p w:rsidR="00606435" w:rsidRPr="00EE72D7" w:rsidRDefault="00606435" w:rsidP="00F420B0">
            <w:pPr>
              <w:pStyle w:val="Marginalie"/>
              <w:framePr w:w="0" w:hSpace="0" w:wrap="auto" w:vAnchor="margin" w:hAnchor="text" w:xAlign="left" w:yAlign="inline"/>
              <w:rPr>
                <w:b/>
                <w:lang w:val="en-US"/>
              </w:rPr>
            </w:pPr>
            <w:proofErr w:type="spellStart"/>
            <w:r w:rsidRPr="00EE72D7">
              <w:rPr>
                <w:b/>
                <w:lang w:val="en-US"/>
              </w:rPr>
              <w:t>Ansprechpartner</w:t>
            </w:r>
            <w:proofErr w:type="spellEnd"/>
            <w:r w:rsidRPr="00EE72D7">
              <w:rPr>
                <w:b/>
                <w:lang w:val="en-US"/>
              </w:rPr>
              <w:t xml:space="preserve"> </w:t>
            </w:r>
            <w:proofErr w:type="spellStart"/>
            <w:r w:rsidRPr="00EE72D7">
              <w:rPr>
                <w:b/>
                <w:lang w:val="en-US"/>
              </w:rPr>
              <w:t>Fachpresse</w:t>
            </w:r>
            <w:proofErr w:type="spellEnd"/>
            <w:r w:rsidRPr="00EE72D7">
              <w:rPr>
                <w:b/>
                <w:lang w:val="en-US"/>
              </w:rPr>
              <w:t xml:space="preserve"> </w:t>
            </w:r>
          </w:p>
          <w:p w:rsidR="00F420B0" w:rsidRPr="00EE72D7" w:rsidRDefault="00387368" w:rsidP="00F420B0">
            <w:pPr>
              <w:pStyle w:val="Marginalie"/>
              <w:framePr w:w="0" w:hSpace="0" w:wrap="auto" w:vAnchor="margin" w:hAnchor="text" w:xAlign="left" w:yAlign="inline"/>
              <w:rPr>
                <w:b/>
                <w:lang w:val="en-US"/>
              </w:rPr>
            </w:pPr>
            <w:r w:rsidRPr="00EE72D7">
              <w:rPr>
                <w:b/>
                <w:lang w:val="en-US"/>
              </w:rPr>
              <w:t>Doris Hirsch</w:t>
            </w:r>
          </w:p>
          <w:p w:rsidR="00F420B0" w:rsidRPr="00F7378A" w:rsidRDefault="00387368" w:rsidP="00F420B0">
            <w:pPr>
              <w:pStyle w:val="Marginalie"/>
              <w:framePr w:w="0" w:hSpace="0" w:wrap="auto" w:vAnchor="margin" w:hAnchor="text" w:xAlign="left" w:yAlign="inline"/>
              <w:rPr>
                <w:lang w:val="en-US"/>
              </w:rPr>
            </w:pPr>
            <w:r w:rsidRPr="00F7378A">
              <w:rPr>
                <w:lang w:val="en-US"/>
              </w:rPr>
              <w:t xml:space="preserve">Global Communication </w:t>
            </w:r>
            <w:r w:rsidRPr="00F7378A">
              <w:rPr>
                <w:lang w:val="en-US"/>
              </w:rPr>
              <w:br/>
              <w:t>Molding Compounds</w:t>
            </w:r>
          </w:p>
          <w:p w:rsidR="00F420B0" w:rsidRPr="00EE72D7" w:rsidRDefault="00F420B0" w:rsidP="00F420B0">
            <w:pPr>
              <w:pStyle w:val="Marginalie"/>
              <w:framePr w:w="0" w:hSpace="0" w:wrap="auto" w:vAnchor="margin" w:hAnchor="text" w:xAlign="left" w:yAlign="inline"/>
              <w:rPr>
                <w:color w:val="000000"/>
              </w:rPr>
            </w:pPr>
            <w:r w:rsidRPr="00EE72D7">
              <w:rPr>
                <w:color w:val="000000"/>
              </w:rPr>
              <w:t>Performance Materials</w:t>
            </w:r>
          </w:p>
          <w:p w:rsidR="00F420B0" w:rsidRDefault="00F420B0" w:rsidP="00F420B0">
            <w:pPr>
              <w:pStyle w:val="Marginalie"/>
              <w:framePr w:w="0" w:hSpace="0" w:wrap="auto" w:vAnchor="margin" w:hAnchor="text" w:xAlign="left" w:yAlign="inline"/>
              <w:rPr>
                <w:color w:val="000000"/>
              </w:rPr>
            </w:pPr>
            <w:r>
              <w:rPr>
                <w:color w:val="000000"/>
              </w:rPr>
              <w:t xml:space="preserve">Telefon +49 </w:t>
            </w:r>
            <w:r w:rsidR="00387368">
              <w:rPr>
                <w:color w:val="000000"/>
              </w:rPr>
              <w:t>6151 18 4079</w:t>
            </w:r>
          </w:p>
          <w:p w:rsidR="00F420B0" w:rsidRDefault="00F420B0" w:rsidP="00F420B0">
            <w:pPr>
              <w:pStyle w:val="Marginalie"/>
              <w:framePr w:w="0" w:hSpace="0" w:wrap="auto" w:vAnchor="margin" w:hAnchor="text" w:xAlign="left" w:yAlign="inline"/>
              <w:rPr>
                <w:color w:val="000000"/>
              </w:rPr>
            </w:pPr>
            <w:r>
              <w:rPr>
                <w:color w:val="000000"/>
              </w:rPr>
              <w:t xml:space="preserve">Telefax +49 </w:t>
            </w:r>
            <w:r w:rsidR="00387368">
              <w:rPr>
                <w:color w:val="000000"/>
              </w:rPr>
              <w:t>6151 18 84 4079</w:t>
            </w:r>
          </w:p>
          <w:p w:rsidR="00F420B0" w:rsidRDefault="00387368" w:rsidP="00F420B0">
            <w:pPr>
              <w:pStyle w:val="Marginalie"/>
              <w:framePr w:w="0" w:hSpace="0" w:wrap="auto" w:vAnchor="margin" w:hAnchor="text" w:xAlign="left" w:yAlign="inline"/>
              <w:rPr>
                <w:color w:val="000000"/>
              </w:rPr>
            </w:pPr>
            <w:r>
              <w:rPr>
                <w:color w:val="000000"/>
              </w:rPr>
              <w:t>doris.hirsch@evonik.com</w:t>
            </w:r>
          </w:p>
          <w:p w:rsidR="000B1B97" w:rsidRPr="00F420B0" w:rsidRDefault="000B1B97" w:rsidP="000B1B97">
            <w:pPr>
              <w:pStyle w:val="M10"/>
              <w:framePr w:wrap="auto" w:vAnchor="margin" w:hAnchor="text" w:xAlign="left" w:yAlign="inline"/>
              <w:suppressOverlap w:val="0"/>
              <w:rPr>
                <w:lang w:val="de-DE"/>
              </w:rPr>
            </w:pPr>
          </w:p>
        </w:tc>
      </w:tr>
      <w:tr w:rsidR="000B1B97" w:rsidRPr="00344D49" w:rsidTr="002159BA">
        <w:trPr>
          <w:trHeight w:val="851"/>
        </w:trPr>
        <w:tc>
          <w:tcPr>
            <w:tcW w:w="2552" w:type="dxa"/>
            <w:shd w:val="clear" w:color="auto" w:fill="auto"/>
          </w:tcPr>
          <w:p w:rsidR="000B1B97" w:rsidRDefault="000B1B97" w:rsidP="00F420B0">
            <w:pPr>
              <w:pStyle w:val="M10"/>
              <w:framePr w:wrap="auto" w:vAnchor="margin" w:hAnchor="text" w:xAlign="left" w:yAlign="inline"/>
              <w:suppressOverlap w:val="0"/>
            </w:pPr>
          </w:p>
        </w:tc>
      </w:tr>
    </w:tbl>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b/>
          <w:noProof/>
          <w:sz w:val="13"/>
        </w:rPr>
        <w:t xml:space="preserve">Evonik Performance </w:t>
      </w:r>
      <w:r>
        <w:rPr>
          <w:b/>
          <w:noProof/>
          <w:sz w:val="13"/>
        </w:rPr>
        <w:br/>
      </w:r>
      <w:r w:rsidRPr="00C1088D">
        <w:rPr>
          <w:b/>
          <w:noProof/>
          <w:sz w:val="13"/>
        </w:rPr>
        <w:t>Materials GmbH</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Rellinghauser Straße 1-11</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45128 Essen</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Telefon +49 201 177-01</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Telefax +49 201 177-3475</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www.evonik.de</w:t>
      </w:r>
    </w:p>
    <w:p w:rsidR="00F420B0" w:rsidRPr="00C1088D" w:rsidRDefault="00F420B0" w:rsidP="00F420B0">
      <w:pPr>
        <w:framePr w:w="2659" w:wrap="around" w:hAnchor="page" w:x="8971" w:yAlign="bottom" w:anchorLock="1"/>
        <w:tabs>
          <w:tab w:val="left" w:pos="518"/>
        </w:tabs>
        <w:spacing w:line="180" w:lineRule="exact"/>
        <w:rPr>
          <w:noProof/>
          <w:sz w:val="13"/>
        </w:rPr>
      </w:pP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b/>
          <w:noProof/>
          <w:sz w:val="13"/>
        </w:rPr>
        <w:t>Geschäftsführung</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Johann-Caspar Gammelin, Vorsitzender</w:t>
      </w:r>
    </w:p>
    <w:p w:rsidR="00F420B0" w:rsidRPr="00BD610C" w:rsidRDefault="00F420B0" w:rsidP="00F420B0">
      <w:pPr>
        <w:framePr w:w="2659" w:wrap="around" w:hAnchor="page" w:x="8971" w:yAlign="bottom" w:anchorLock="1"/>
        <w:tabs>
          <w:tab w:val="left" w:pos="518"/>
        </w:tabs>
        <w:spacing w:line="180" w:lineRule="exact"/>
        <w:rPr>
          <w:noProof/>
          <w:sz w:val="13"/>
        </w:rPr>
      </w:pPr>
      <w:r w:rsidRPr="00BD610C">
        <w:rPr>
          <w:noProof/>
          <w:sz w:val="13"/>
        </w:rPr>
        <w:t xml:space="preserve">Dr. Michael Pack, </w:t>
      </w:r>
      <w:r w:rsidRPr="00BD610C">
        <w:rPr>
          <w:noProof/>
          <w:sz w:val="13"/>
        </w:rPr>
        <w:br/>
        <w:t>Magdalena Wagner,</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Rainer Wobbe</w:t>
      </w:r>
    </w:p>
    <w:p w:rsidR="00F420B0" w:rsidRPr="00C1088D" w:rsidRDefault="00F420B0" w:rsidP="00F420B0">
      <w:pPr>
        <w:framePr w:w="2659" w:wrap="around" w:hAnchor="page" w:x="8971" w:yAlign="bottom" w:anchorLock="1"/>
        <w:tabs>
          <w:tab w:val="left" w:pos="518"/>
        </w:tabs>
        <w:spacing w:line="180" w:lineRule="exact"/>
        <w:rPr>
          <w:noProof/>
          <w:sz w:val="13"/>
        </w:rPr>
      </w:pP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Sitz der Gesellschaft ist Essen</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Registergericht</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Amtsgericht Essen</w:t>
      </w:r>
    </w:p>
    <w:p w:rsidR="00F420B0" w:rsidRPr="00C1088D" w:rsidRDefault="00F420B0" w:rsidP="00F420B0">
      <w:pPr>
        <w:framePr w:w="2659" w:wrap="around" w:hAnchor="page" w:x="8971" w:yAlign="bottom" w:anchorLock="1"/>
        <w:tabs>
          <w:tab w:val="left" w:pos="518"/>
        </w:tabs>
        <w:spacing w:line="180" w:lineRule="exact"/>
        <w:rPr>
          <w:noProof/>
          <w:sz w:val="13"/>
        </w:rPr>
      </w:pPr>
      <w:r w:rsidRPr="00C1088D">
        <w:rPr>
          <w:noProof/>
          <w:sz w:val="13"/>
        </w:rPr>
        <w:t>Handelsregister B 25779</w:t>
      </w:r>
    </w:p>
    <w:p w:rsidR="003A0C74" w:rsidRPr="008D4E86" w:rsidRDefault="008D4E86" w:rsidP="003A0C74">
      <w:pPr>
        <w:keepNext/>
        <w:keepLines/>
        <w:spacing w:before="480"/>
        <w:outlineLvl w:val="0"/>
        <w:rPr>
          <w:rFonts w:eastAsiaTheme="majorEastAsia" w:cs="Lucida Sans Unicode"/>
          <w:b/>
          <w:bCs/>
          <w:sz w:val="24"/>
          <w:lang w:eastAsia="en-US"/>
        </w:rPr>
      </w:pPr>
      <w:r w:rsidRPr="008D4E86">
        <w:rPr>
          <w:rFonts w:eastAsiaTheme="majorEastAsia" w:cs="Lucida Sans Unicode"/>
          <w:b/>
          <w:bCs/>
          <w:sz w:val="24"/>
          <w:lang w:eastAsia="en-US"/>
        </w:rPr>
        <w:t>LED-Strahler: Energie sparen und Akzente setzen</w:t>
      </w:r>
      <w:r w:rsidR="003A0C74">
        <w:rPr>
          <w:rFonts w:eastAsiaTheme="majorEastAsia" w:cs="Lucida Sans Unicode"/>
          <w:b/>
          <w:bCs/>
          <w:sz w:val="24"/>
          <w:lang w:eastAsia="en-US"/>
        </w:rPr>
        <w:br/>
      </w:r>
    </w:p>
    <w:p w:rsidR="00B471AD" w:rsidRPr="003A0C74" w:rsidRDefault="008D4E86" w:rsidP="00F7378A">
      <w:pPr>
        <w:spacing w:after="200"/>
        <w:rPr>
          <w:rFonts w:eastAsiaTheme="minorHAnsi" w:cs="Lucida Sans Unicode"/>
          <w:sz w:val="24"/>
          <w:lang w:eastAsia="en-US"/>
        </w:rPr>
      </w:pPr>
      <w:r w:rsidRPr="003A0C74">
        <w:rPr>
          <w:rFonts w:eastAsiaTheme="minorHAnsi" w:cs="Lucida Sans Unicode"/>
          <w:sz w:val="24"/>
          <w:lang w:eastAsia="en-US"/>
        </w:rPr>
        <w:t xml:space="preserve">In Supermärkten, Industriehallen und Büros weltweit sorgt das Lichtbandsystem TECTON von </w:t>
      </w:r>
      <w:proofErr w:type="spellStart"/>
      <w:r w:rsidRPr="003A0C74">
        <w:rPr>
          <w:rFonts w:eastAsiaTheme="minorHAnsi" w:cs="Lucida Sans Unicode"/>
          <w:sz w:val="24"/>
          <w:lang w:eastAsia="en-US"/>
        </w:rPr>
        <w:t>Zumtobel</w:t>
      </w:r>
      <w:proofErr w:type="spellEnd"/>
      <w:r w:rsidRPr="003A0C74">
        <w:rPr>
          <w:rFonts w:eastAsiaTheme="minorHAnsi" w:cs="Lucida Sans Unicode"/>
          <w:sz w:val="24"/>
          <w:lang w:eastAsia="en-US"/>
        </w:rPr>
        <w:t xml:space="preserve"> durch eine Kombination von LEDs mit PLEXIGLAS® für eine angenehme und energieeffiziente Beleuchtung.</w:t>
      </w:r>
    </w:p>
    <w:p w:rsidR="008D4E86" w:rsidRDefault="008D4E86" w:rsidP="008D4E86">
      <w:pPr>
        <w:spacing w:after="200" w:line="276" w:lineRule="auto"/>
        <w:rPr>
          <w:rFonts w:eastAsiaTheme="minorHAnsi" w:cs="Lucida Sans Unicode"/>
          <w:noProof/>
          <w:szCs w:val="22"/>
        </w:rPr>
      </w:pPr>
      <w:r w:rsidRPr="007A2C7F">
        <w:rPr>
          <w:rFonts w:cs="Lucida Sans Unicode"/>
          <w:noProof/>
          <w:szCs w:val="22"/>
        </w:rPr>
        <w:drawing>
          <wp:inline distT="0" distB="0" distL="0" distR="0" wp14:anchorId="4DA243E4" wp14:editId="6513584B">
            <wp:extent cx="4333875" cy="2095513"/>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45173" cy="2100976"/>
                    </a:xfrm>
                    <a:prstGeom prst="rect">
                      <a:avLst/>
                    </a:prstGeom>
                  </pic:spPr>
                </pic:pic>
              </a:graphicData>
            </a:graphic>
          </wp:inline>
        </w:drawing>
      </w:r>
    </w:p>
    <w:p w:rsidR="008D4E86" w:rsidRPr="003A0C74" w:rsidRDefault="008D4E86" w:rsidP="003A0C74">
      <w:pPr>
        <w:rPr>
          <w:rFonts w:eastAsiaTheme="minorHAnsi" w:cs="Lucida Sans Unicode"/>
          <w:i/>
          <w:sz w:val="20"/>
          <w:szCs w:val="20"/>
          <w:lang w:eastAsia="en-US"/>
        </w:rPr>
      </w:pPr>
      <w:r w:rsidRPr="003A0C74">
        <w:rPr>
          <w:rFonts w:eastAsiaTheme="minorHAnsi" w:cs="Lucida Sans Unicode"/>
          <w:i/>
          <w:noProof/>
          <w:sz w:val="20"/>
          <w:szCs w:val="20"/>
        </w:rPr>
        <w:t xml:space="preserve">Bild 1: </w:t>
      </w:r>
      <w:r w:rsidRPr="003A0C74">
        <w:rPr>
          <w:rFonts w:eastAsiaTheme="minorHAnsi" w:cs="Lucida Sans Unicode"/>
          <w:i/>
          <w:sz w:val="20"/>
          <w:szCs w:val="20"/>
          <w:lang w:eastAsia="en-US"/>
        </w:rPr>
        <w:t xml:space="preserve">SPAR </w:t>
      </w:r>
      <w:proofErr w:type="spellStart"/>
      <w:r w:rsidRPr="003A0C74">
        <w:rPr>
          <w:rFonts w:eastAsiaTheme="minorHAnsi" w:cs="Lucida Sans Unicode"/>
          <w:i/>
          <w:sz w:val="20"/>
          <w:szCs w:val="20"/>
          <w:lang w:eastAsia="en-US"/>
        </w:rPr>
        <w:t>Flagshipstore</w:t>
      </w:r>
      <w:proofErr w:type="spellEnd"/>
      <w:r w:rsidRPr="003A0C74">
        <w:rPr>
          <w:rFonts w:eastAsiaTheme="minorHAnsi" w:cs="Lucida Sans Unicode"/>
          <w:i/>
          <w:sz w:val="20"/>
          <w:szCs w:val="20"/>
          <w:lang w:eastAsia="en-US"/>
        </w:rPr>
        <w:t xml:space="preserve"> in Budapest mit Lichttechnik von </w:t>
      </w:r>
      <w:proofErr w:type="spellStart"/>
      <w:r w:rsidRPr="003A0C74">
        <w:rPr>
          <w:rFonts w:eastAsiaTheme="minorHAnsi" w:cs="Lucida Sans Unicode"/>
          <w:i/>
          <w:sz w:val="20"/>
          <w:szCs w:val="20"/>
          <w:lang w:eastAsia="en-US"/>
        </w:rPr>
        <w:t>Zumtobel</w:t>
      </w:r>
      <w:proofErr w:type="spellEnd"/>
      <w:r w:rsidRPr="003A0C74">
        <w:rPr>
          <w:rFonts w:eastAsiaTheme="minorHAnsi" w:cs="Lucida Sans Unicode"/>
          <w:i/>
          <w:sz w:val="20"/>
          <w:szCs w:val="20"/>
          <w:lang w:eastAsia="en-US"/>
        </w:rPr>
        <w:t>.</w:t>
      </w:r>
      <w:r w:rsidR="003A0C74">
        <w:rPr>
          <w:rFonts w:eastAsiaTheme="minorHAnsi" w:cs="Lucida Sans Unicode"/>
          <w:i/>
          <w:sz w:val="20"/>
          <w:szCs w:val="20"/>
          <w:lang w:eastAsia="en-US"/>
        </w:rPr>
        <w:br/>
      </w:r>
    </w:p>
    <w:p w:rsidR="008D4E86" w:rsidRPr="00F7378A" w:rsidRDefault="008D4E86" w:rsidP="00F7378A">
      <w:pPr>
        <w:spacing w:after="200"/>
        <w:rPr>
          <w:rFonts w:eastAsiaTheme="minorHAnsi" w:cs="Lucida Sans Unicode"/>
          <w:szCs w:val="22"/>
          <w:lang w:eastAsia="en-US"/>
        </w:rPr>
      </w:pPr>
      <w:r w:rsidRPr="008D4E86">
        <w:rPr>
          <w:rFonts w:eastAsiaTheme="minorHAnsi" w:cs="Lucida Sans Unicode"/>
          <w:szCs w:val="22"/>
          <w:lang w:eastAsia="en-US"/>
        </w:rPr>
        <w:t xml:space="preserve">Überall da, wo große Flächen dauerhaft beleuchtet werden, lohnt sich eine Umrüstung auf energieeffiziente LED-Beleuchtung. In Supermärkten zum Beispiel muss das Licht über die komplette Öffnungszeit hinweg die Waren nicht nur optimal präsentieren, sondern dabei auch ein angenehmes Ambiente schaffen – und das auf der gesamten Fläche. Die Beleuchtung zählte in Supermärkten deshalb zu den größten Energiefressern. SPAR Österreich stattet daher mittlerweile alle neuen Filialen mit LED-Leuchten der Firma </w:t>
      </w:r>
      <w:r w:rsidRPr="00F7378A">
        <w:rPr>
          <w:rFonts w:eastAsiaTheme="minorHAnsi" w:cs="Lucida Sans Unicode"/>
          <w:szCs w:val="22"/>
          <w:lang w:eastAsia="en-US"/>
        </w:rPr>
        <w:t>Zumtobel aus und rüstet bestehende Standorte um.</w:t>
      </w:r>
    </w:p>
    <w:p w:rsidR="008D4E86" w:rsidRPr="00F7378A" w:rsidRDefault="008D4E86" w:rsidP="00F7378A">
      <w:pPr>
        <w:spacing w:after="200"/>
        <w:rPr>
          <w:rFonts w:eastAsiaTheme="minorHAnsi" w:cs="Lucida Sans Unicode"/>
          <w:b/>
          <w:noProof/>
          <w:szCs w:val="22"/>
        </w:rPr>
      </w:pPr>
      <w:r w:rsidRPr="00F7378A">
        <w:rPr>
          <w:rFonts w:eastAsiaTheme="minorHAnsi" w:cs="Lucida Sans Unicode"/>
          <w:b/>
          <w:noProof/>
          <w:szCs w:val="22"/>
        </w:rPr>
        <w:t>LED-Leuchten senken Stromverbrauch</w:t>
      </w:r>
    </w:p>
    <w:p w:rsidR="008D4E86" w:rsidRPr="00F7378A" w:rsidRDefault="008D4E86" w:rsidP="00F7378A">
      <w:pPr>
        <w:spacing w:after="200"/>
        <w:rPr>
          <w:rFonts w:eastAsiaTheme="minorHAnsi" w:cs="Lucida Sans Unicode"/>
          <w:noProof/>
          <w:szCs w:val="22"/>
        </w:rPr>
      </w:pPr>
      <w:r w:rsidRPr="00F7378A">
        <w:rPr>
          <w:rFonts w:eastAsiaTheme="minorHAnsi" w:cs="Lucida Sans Unicode"/>
          <w:noProof/>
          <w:szCs w:val="22"/>
        </w:rPr>
        <w:t xml:space="preserve">Nach der Kühlung und Klimatisierung ist in einem Supermarkt die Beleuchtung der drittgrößte Stromfresser. </w:t>
      </w:r>
    </w:p>
    <w:p w:rsidR="008D4E86" w:rsidRPr="00F7378A" w:rsidRDefault="008D4E86" w:rsidP="00F7378A">
      <w:pPr>
        <w:spacing w:after="200"/>
        <w:rPr>
          <w:rFonts w:eastAsiaTheme="minorHAnsi" w:cs="Lucida Sans Unicode"/>
          <w:noProof/>
          <w:szCs w:val="22"/>
        </w:rPr>
      </w:pPr>
      <w:r w:rsidRPr="00F7378A">
        <w:rPr>
          <w:rFonts w:eastAsiaTheme="minorHAnsi" w:cs="Lucida Sans Unicode"/>
          <w:noProof/>
          <w:szCs w:val="22"/>
        </w:rPr>
        <w:t>Das LED-Lichtbandsystem TECTON reduziert den Energieverbrauch für die gesamte künstliche Beleuchtung eines durchschnittlichen Supermarkt-Standortes im Vergleich zu Leuchtstoffröhren um mindesten 40 Prozent – und liefert gleichzeitig eine bessere Lichtqualität. „I</w:t>
      </w:r>
      <w:r w:rsidRPr="00F7378A">
        <w:rPr>
          <w:rFonts w:eastAsiaTheme="minorHAnsi" w:cs="Lucida Sans Unicode"/>
          <w:szCs w:val="22"/>
          <w:lang w:eastAsia="en-US"/>
        </w:rPr>
        <w:t xml:space="preserve">n Supermärkten amortisieren sich effiziente LED-Leuchten im Vergleich zu </w:t>
      </w:r>
      <w:r w:rsidRPr="00F7378A">
        <w:rPr>
          <w:rFonts w:eastAsiaTheme="minorHAnsi" w:cs="Lucida Sans Unicode"/>
          <w:szCs w:val="22"/>
          <w:lang w:eastAsia="en-US"/>
        </w:rPr>
        <w:lastRenderedPageBreak/>
        <w:t xml:space="preserve">Leuchtstoffröhren </w:t>
      </w:r>
      <w:r w:rsidRPr="00F7378A">
        <w:rPr>
          <w:rFonts w:eastAsiaTheme="minorHAnsi" w:cs="Lucida Sans Unicode"/>
          <w:noProof/>
          <w:szCs w:val="22"/>
        </w:rPr>
        <w:t xml:space="preserve">häufig schon nach eineinhalb Jahren“, </w:t>
      </w:r>
      <w:r w:rsidRPr="00F7378A">
        <w:rPr>
          <w:rFonts w:eastAsiaTheme="minorHAnsi" w:cs="Lucida Sans Unicode"/>
          <w:szCs w:val="22"/>
          <w:lang w:eastAsia="en-US"/>
        </w:rPr>
        <w:t xml:space="preserve">sagt Dieter </w:t>
      </w:r>
      <w:proofErr w:type="spellStart"/>
      <w:r w:rsidRPr="00F7378A">
        <w:rPr>
          <w:rFonts w:eastAsiaTheme="minorHAnsi" w:cs="Lucida Sans Unicode"/>
          <w:szCs w:val="22"/>
          <w:lang w:eastAsia="en-US"/>
        </w:rPr>
        <w:t>Safarik</w:t>
      </w:r>
      <w:proofErr w:type="spellEnd"/>
      <w:r w:rsidRPr="00F7378A">
        <w:rPr>
          <w:rFonts w:eastAsiaTheme="minorHAnsi" w:cs="Lucida Sans Unicode"/>
          <w:szCs w:val="22"/>
          <w:lang w:eastAsia="en-US"/>
        </w:rPr>
        <w:t>, Global Key</w:t>
      </w:r>
      <w:r w:rsidRPr="00F7378A">
        <w:rPr>
          <w:rFonts w:eastAsiaTheme="minorHAnsi" w:cs="Lucida Sans Unicode"/>
          <w:noProof/>
          <w:szCs w:val="22"/>
        </w:rPr>
        <w:t xml:space="preserve"> Account Manager für Supermärkte bei Zumtobel. „</w:t>
      </w:r>
      <w:r w:rsidRPr="00F7378A">
        <w:rPr>
          <w:rFonts w:eastAsiaTheme="minorHAnsi" w:cs="Lucida Sans Unicode"/>
          <w:szCs w:val="22"/>
          <w:lang w:eastAsia="en-US"/>
        </w:rPr>
        <w:t xml:space="preserve">Heutzutage ergibt es deshalb einfach keinen Sinn mehr, nicht LEDs zu nutzen.“ </w:t>
      </w:r>
      <w:r w:rsidRPr="00F7378A">
        <w:rPr>
          <w:rFonts w:eastAsiaTheme="minorHAnsi" w:cs="Lucida Sans Unicode"/>
          <w:noProof/>
          <w:szCs w:val="22"/>
        </w:rPr>
        <w:t xml:space="preserve">Als sich SPAR 2011 erstmals zum Umstieg entschied, sah das noch anders aus. „Die LEDs waren längst nicht so effizient wie heute. </w:t>
      </w:r>
    </w:p>
    <w:p w:rsidR="008D4E86" w:rsidRPr="00F7378A" w:rsidRDefault="008D4E86" w:rsidP="00F7378A">
      <w:pPr>
        <w:spacing w:after="200"/>
        <w:rPr>
          <w:rFonts w:eastAsiaTheme="minorHAnsi" w:cs="Lucida Sans Unicode"/>
          <w:noProof/>
          <w:szCs w:val="22"/>
        </w:rPr>
      </w:pPr>
      <w:r w:rsidRPr="00F7378A">
        <w:rPr>
          <w:rFonts w:eastAsiaTheme="minorHAnsi" w:cs="Lucida Sans Unicode"/>
          <w:noProof/>
          <w:szCs w:val="22"/>
        </w:rPr>
        <w:t>Aber SPAR wollte diese grüne Investition unbedingt“, erinnert sich Safarik, der die Supermarkt-Kette schon seit 30 Jahren betreut.  In dieser Zeit hat sich die Lichttechnik kontinuierlich weiter entwickelt, zunächst mit immer effizienteren und kleineren Leuchtstoffröhren, dann durch die LEDs. Auch Zumtobel verwendete bis 2010 für das Lichtbandsystem TECTON ausschließlich Leuchtstoffröhren. „Aber die Effizienz von diesen Leuchtmitteln war einfach irgendwann ausgereizt“, erläutert Safarik. Gemeinsam mit SPAR entwickelten die österreichischen Lichtexperten daher eine LED-Variante für das bereits bewährte Lichtbandsystem.</w:t>
      </w:r>
    </w:p>
    <w:p w:rsidR="008D4E86" w:rsidRPr="00F7378A" w:rsidRDefault="008D4E86" w:rsidP="00F7378A">
      <w:pPr>
        <w:spacing w:after="200"/>
        <w:rPr>
          <w:rFonts w:eastAsiaTheme="minorHAnsi" w:cs="Lucida Sans Unicode"/>
          <w:b/>
          <w:noProof/>
          <w:szCs w:val="22"/>
        </w:rPr>
      </w:pPr>
      <w:r w:rsidRPr="00F7378A">
        <w:rPr>
          <w:rFonts w:eastAsiaTheme="minorHAnsi" w:cs="Lucida Sans Unicode"/>
          <w:b/>
          <w:noProof/>
          <w:szCs w:val="22"/>
        </w:rPr>
        <w:t xml:space="preserve">Hohe Lichttransmission und gute Lichtlenkung </w:t>
      </w:r>
    </w:p>
    <w:p w:rsidR="008D4E86" w:rsidRPr="00F7378A" w:rsidRDefault="008D4E86" w:rsidP="00F7378A">
      <w:pPr>
        <w:spacing w:after="200"/>
        <w:rPr>
          <w:rFonts w:eastAsiaTheme="minorHAnsi" w:cs="Lucida Sans Unicode"/>
          <w:noProof/>
          <w:szCs w:val="22"/>
        </w:rPr>
      </w:pPr>
      <w:r w:rsidRPr="00F7378A">
        <w:rPr>
          <w:rFonts w:eastAsiaTheme="minorHAnsi" w:cs="Lucida Sans Unicode"/>
          <w:noProof/>
          <w:szCs w:val="22"/>
        </w:rPr>
        <w:t xml:space="preserve">Die Herausforderung dabei: Es musste eine Lösung gefunden werden, um die Lichtverteilung der LEDs auf die besonderen Anforderungen von Supermärkten anzupassen. Denn dort sollen vor allem die Regale beleuchtet werden, die noch immer einen Großteil der Verkausffläche einnehmen. </w:t>
      </w:r>
    </w:p>
    <w:p w:rsidR="008D4E86" w:rsidRPr="00F7378A" w:rsidRDefault="008D4E86" w:rsidP="00F7378A">
      <w:pPr>
        <w:spacing w:after="200"/>
        <w:rPr>
          <w:rFonts w:eastAsiaTheme="minorHAnsi" w:cs="Lucida Sans Unicode"/>
          <w:noProof/>
          <w:szCs w:val="22"/>
        </w:rPr>
      </w:pPr>
      <w:r w:rsidRPr="00F7378A">
        <w:rPr>
          <w:rFonts w:eastAsiaTheme="minorHAnsi" w:cs="Lucida Sans Unicode"/>
          <w:noProof/>
          <w:szCs w:val="22"/>
        </w:rPr>
        <w:t xml:space="preserve">„Normalerweise beleuchten unsere LED-Leuchten nur möglichst homogen den Boden“, erläutert Safarik. LEDs brauchen daher ein lichtlenkendes Material, das eine </w:t>
      </w:r>
      <w:r w:rsidRPr="00F7378A">
        <w:rPr>
          <w:rFonts w:eastAsiaTheme="minorHAnsi" w:cs="Lucida Sans Unicode"/>
          <w:szCs w:val="22"/>
          <w:lang w:eastAsia="en-US"/>
        </w:rPr>
        <w:t>vertikale, möglichst gleichmäßige und helle Beleuchtung der gesamten Regalfront ermöglicht. Idealerweise wird dabei gleichzeitig noch der bei Schlechtwetter oft verschmutzte Boden bewusst von hohen Beleuchtungsstärken ausgeklammert</w:t>
      </w:r>
      <w:r w:rsidRPr="00F7378A">
        <w:rPr>
          <w:rFonts w:eastAsiaTheme="minorHAnsi" w:cs="Lucida Sans Unicode"/>
          <w:noProof/>
          <w:szCs w:val="22"/>
        </w:rPr>
        <w:t xml:space="preserve">. Für diese Anforderungen entschied sich Zumtobel für PLEXIGLAS®. Das Markenacrylglas von Evonik weist mit 92 Prozent eine hohe Lichttransmission auf und eignet sich dadurch besonders gut für Lichtanwendungen. </w:t>
      </w:r>
    </w:p>
    <w:p w:rsidR="008D4E86" w:rsidRPr="00F7378A" w:rsidRDefault="008D4E86" w:rsidP="003A0C74">
      <w:pPr>
        <w:spacing w:after="200"/>
        <w:rPr>
          <w:rFonts w:eastAsiaTheme="minorHAnsi" w:cs="Lucida Sans Unicode"/>
          <w:b/>
          <w:noProof/>
          <w:szCs w:val="22"/>
        </w:rPr>
      </w:pPr>
      <w:r w:rsidRPr="00F7378A">
        <w:rPr>
          <w:rFonts w:eastAsiaTheme="minorHAnsi" w:cs="Lucida Sans Unicode"/>
          <w:b/>
          <w:noProof/>
          <w:szCs w:val="22"/>
        </w:rPr>
        <w:t>Hohe Abbildgenauigkeit für Optiken</w:t>
      </w:r>
    </w:p>
    <w:p w:rsidR="008D4E86" w:rsidRPr="00F7378A" w:rsidRDefault="008D4E86" w:rsidP="003A0C74">
      <w:pPr>
        <w:spacing w:after="200"/>
        <w:rPr>
          <w:rFonts w:eastAsiaTheme="minorHAnsi" w:cs="Lucida Sans Unicode"/>
          <w:szCs w:val="22"/>
          <w:lang w:eastAsia="en-US"/>
        </w:rPr>
      </w:pPr>
      <w:r w:rsidRPr="00F7378A">
        <w:rPr>
          <w:rFonts w:eastAsiaTheme="minorHAnsi" w:cs="Lucida Sans Unicode"/>
          <w:noProof/>
          <w:szCs w:val="22"/>
        </w:rPr>
        <w:t xml:space="preserve">Zumtobel verarbeitet für TECTON verschiedene PLEXIGLAS® Formmassen im Spritzgießprozess zu </w:t>
      </w:r>
      <w:r w:rsidRPr="00F7378A">
        <w:rPr>
          <w:rFonts w:eastAsiaTheme="minorHAnsi" w:cs="Lucida Sans Unicode"/>
          <w:szCs w:val="22"/>
          <w:lang w:eastAsia="en-US"/>
        </w:rPr>
        <w:t>optischen Abdeckungen</w:t>
      </w:r>
      <w:r w:rsidRPr="00F7378A">
        <w:rPr>
          <w:rFonts w:eastAsiaTheme="minorHAnsi" w:cs="Lucida Sans Unicode"/>
          <w:noProof/>
          <w:szCs w:val="22"/>
        </w:rPr>
        <w:t xml:space="preserve"> und </w:t>
      </w:r>
      <w:r w:rsidRPr="00F7378A">
        <w:rPr>
          <w:rFonts w:eastAsiaTheme="minorHAnsi" w:cs="Lucida Sans Unicode"/>
          <w:szCs w:val="22"/>
          <w:lang w:eastAsia="en-US"/>
        </w:rPr>
        <w:lastRenderedPageBreak/>
        <w:t>speziellen Linsenoptiken</w:t>
      </w:r>
      <w:r w:rsidRPr="00F7378A">
        <w:rPr>
          <w:rFonts w:eastAsiaTheme="minorHAnsi" w:cs="Lucida Sans Unicode"/>
          <w:noProof/>
          <w:szCs w:val="22"/>
        </w:rPr>
        <w:t>. Bei den Linsen spielt neben der guten Lichtleitfähigkeit auch die hohe Abbildgenauigkeit des Materials eine Rolle. Denn erst dadurch lassen sich Linsen mit spezifischen Strukturen herstellen, die dann unterschiedliche Abstrahlcharakteristika ermöglichen. Beispielsweise bei der Variante „</w:t>
      </w:r>
      <w:proofErr w:type="spellStart"/>
      <w:r w:rsidRPr="00F7378A">
        <w:rPr>
          <w:rFonts w:eastAsiaTheme="minorHAnsi" w:cs="Lucida Sans Unicode"/>
          <w:szCs w:val="22"/>
          <w:lang w:eastAsia="en-US"/>
        </w:rPr>
        <w:t>Shelf</w:t>
      </w:r>
      <w:proofErr w:type="spellEnd"/>
      <w:r w:rsidRPr="00F7378A">
        <w:rPr>
          <w:rFonts w:eastAsiaTheme="minorHAnsi" w:cs="Lucida Sans Unicode"/>
          <w:szCs w:val="22"/>
          <w:lang w:eastAsia="en-US"/>
        </w:rPr>
        <w:t xml:space="preserve"> Beam“ liegen die Regalflächen im Fokus der symmetrischen Lichtverteilung, Gangbereiche werden hingegen weniger stark ausgeleuchtet.</w:t>
      </w:r>
      <w:r w:rsidRPr="00F7378A">
        <w:rPr>
          <w:rFonts w:eastAsiaTheme="minorHAnsi" w:cs="Lucida Sans Unicode"/>
          <w:noProof/>
          <w:szCs w:val="22"/>
        </w:rPr>
        <w:t xml:space="preserve"> </w:t>
      </w:r>
      <w:r w:rsidRPr="00F7378A">
        <w:rPr>
          <w:rFonts w:eastAsiaTheme="minorHAnsi" w:cs="Lucida Sans Unicode"/>
          <w:szCs w:val="22"/>
          <w:lang w:eastAsia="en-US"/>
        </w:rPr>
        <w:t xml:space="preserve">„Erst mit diesen technologisch ausgefeilten Optiken aus PLEXIGLAS® spielen die LEDs ihre Vorteile richtig aus“, so </w:t>
      </w:r>
      <w:proofErr w:type="spellStart"/>
      <w:r w:rsidRPr="00F7378A">
        <w:rPr>
          <w:rFonts w:eastAsiaTheme="minorHAnsi" w:cs="Lucida Sans Unicode"/>
          <w:szCs w:val="22"/>
          <w:lang w:eastAsia="en-US"/>
        </w:rPr>
        <w:t>Safarik</w:t>
      </w:r>
      <w:proofErr w:type="spellEnd"/>
      <w:r w:rsidRPr="00F7378A">
        <w:rPr>
          <w:rFonts w:eastAsiaTheme="minorHAnsi" w:cs="Lucida Sans Unicode"/>
          <w:szCs w:val="22"/>
          <w:lang w:eastAsia="en-US"/>
        </w:rPr>
        <w:t>.</w:t>
      </w:r>
    </w:p>
    <w:p w:rsidR="008D4E86" w:rsidRPr="00F7378A" w:rsidRDefault="008D4E86" w:rsidP="003A0C74">
      <w:pPr>
        <w:spacing w:after="200"/>
        <w:rPr>
          <w:rFonts w:eastAsiaTheme="minorHAnsi" w:cs="Lucida Sans Unicode"/>
          <w:b/>
          <w:noProof/>
          <w:szCs w:val="22"/>
        </w:rPr>
      </w:pPr>
      <w:r w:rsidRPr="00F7378A">
        <w:rPr>
          <w:rFonts w:eastAsiaTheme="minorHAnsi" w:cs="Lucida Sans Unicode"/>
          <w:b/>
          <w:noProof/>
          <w:szCs w:val="22"/>
        </w:rPr>
        <w:t xml:space="preserve">Energieeffiziente Lichtlösung </w:t>
      </w:r>
    </w:p>
    <w:p w:rsidR="008D4E86" w:rsidRPr="00F7378A" w:rsidRDefault="008D4E86" w:rsidP="003A0C74">
      <w:pPr>
        <w:spacing w:after="200"/>
        <w:rPr>
          <w:rFonts w:eastAsiaTheme="minorHAnsi" w:cs="Lucida Sans Unicode"/>
          <w:noProof/>
          <w:szCs w:val="22"/>
        </w:rPr>
      </w:pPr>
      <w:r w:rsidRPr="00F7378A">
        <w:rPr>
          <w:rFonts w:eastAsiaTheme="minorHAnsi" w:cs="Lucida Sans Unicode"/>
          <w:noProof/>
          <w:szCs w:val="22"/>
        </w:rPr>
        <w:t xml:space="preserve">Neben der hohen Energieeffizienz und Lichtausbeute überzeugen LEDs auch durch ihre lange Lebensdauer und geringe Wartungskosten. „Wir installieren das LED-Lichtbandsystem TECTON seit 2010 – bis jetzt mussten die LEDs nirgends ersetzt werden“, berichtet Safarik. </w:t>
      </w:r>
    </w:p>
    <w:p w:rsidR="008D4E86" w:rsidRDefault="008D4E86" w:rsidP="003A0C74">
      <w:pPr>
        <w:spacing w:after="200"/>
        <w:rPr>
          <w:rFonts w:eastAsiaTheme="minorHAnsi" w:cs="Lucida Sans Unicode"/>
          <w:noProof/>
          <w:szCs w:val="22"/>
        </w:rPr>
      </w:pPr>
      <w:r w:rsidRPr="008D4E86">
        <w:rPr>
          <w:rFonts w:eastAsiaTheme="minorHAnsi" w:cs="Lucida Sans Unicode"/>
          <w:noProof/>
          <w:szCs w:val="22"/>
        </w:rPr>
        <w:t>Und das obwohl die theoretische Lebensdauer von 50.000 Stunden teilweise sogar schon erreicht wurde. „Das ist ein großer Vorteil an LEDs: Sie brennen nicht irgendwann einfach durch, wie Leuchtstoffröhren. Sie werden einfach nur ein bisschen dunkler“, sagt Safarik. Und auch das PLEXIGLAS® bietet nach der langen Lebensdauer noch eine genauso hohe Transmisison wie am ersten Tag. Denn das Material bleibt dauerhaft transparent und vergilbt nicht. Eine Umrüstung älterer LED-Systeme kann trotzdem irgendwann sinnvoll sein: Schließlich werden die selbst immer effizienter. Safarik: „Da ist die Entwicklung längst noch nicht am Ende angekommen.“</w:t>
      </w:r>
    </w:p>
    <w:p w:rsidR="003A0C74" w:rsidRPr="008D4E86" w:rsidRDefault="003A0C74" w:rsidP="003A0C74">
      <w:pPr>
        <w:spacing w:after="200"/>
        <w:rPr>
          <w:rFonts w:eastAsiaTheme="minorHAnsi" w:cs="Lucida Sans Unicode"/>
          <w:noProof/>
          <w:szCs w:val="22"/>
        </w:rPr>
      </w:pPr>
    </w:p>
    <w:p w:rsidR="008D4E86" w:rsidRPr="008D4E86" w:rsidRDefault="008D4E86" w:rsidP="008D4E86">
      <w:pPr>
        <w:spacing w:after="200" w:line="276" w:lineRule="auto"/>
        <w:rPr>
          <w:rFonts w:eastAsiaTheme="minorHAnsi" w:cs="Lucida Sans Unicode"/>
          <w:noProof/>
          <w:szCs w:val="22"/>
        </w:rPr>
      </w:pPr>
      <w:r w:rsidRPr="008D4E86">
        <w:rPr>
          <w:rFonts w:eastAsiaTheme="minorHAnsi" w:cs="Lucida Sans Unicode"/>
          <w:noProof/>
          <w:szCs w:val="22"/>
        </w:rPr>
        <w:drawing>
          <wp:inline distT="0" distB="0" distL="0" distR="0" wp14:anchorId="5930453F" wp14:editId="2BDD5938">
            <wp:extent cx="2867025" cy="17584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benannt.JPG"/>
                    <pic:cNvPicPr/>
                  </pic:nvPicPr>
                  <pic:blipFill>
                    <a:blip r:embed="rId8"/>
                    <a:stretch>
                      <a:fillRect/>
                    </a:stretch>
                  </pic:blipFill>
                  <pic:spPr>
                    <a:xfrm>
                      <a:off x="0" y="0"/>
                      <a:ext cx="2883091" cy="1768338"/>
                    </a:xfrm>
                    <a:prstGeom prst="rect">
                      <a:avLst/>
                    </a:prstGeom>
                  </pic:spPr>
                </pic:pic>
              </a:graphicData>
            </a:graphic>
          </wp:inline>
        </w:drawing>
      </w:r>
    </w:p>
    <w:p w:rsidR="008D4E86" w:rsidRPr="003A0C74" w:rsidRDefault="008D4E86" w:rsidP="003A0C74">
      <w:pPr>
        <w:spacing w:after="200"/>
        <w:rPr>
          <w:rFonts w:eastAsiaTheme="minorHAnsi" w:cs="Lucida Sans Unicode"/>
          <w:i/>
          <w:noProof/>
          <w:sz w:val="20"/>
          <w:szCs w:val="20"/>
        </w:rPr>
      </w:pPr>
      <w:r w:rsidRPr="003A0C74">
        <w:rPr>
          <w:rFonts w:eastAsiaTheme="minorHAnsi" w:cs="Lucida Sans Unicode"/>
          <w:i/>
          <w:noProof/>
          <w:sz w:val="20"/>
          <w:szCs w:val="20"/>
        </w:rPr>
        <w:t>Bild 2: Das LED-Lichbandsystem von Zumtobel kommt abgesehen von Supermärkten auch häufig in Industriehallen, Büros oder Bildungseinrichtungen zum Einsatz. (Foto: Zumtobel)</w:t>
      </w:r>
      <w:r w:rsidR="008C61BE">
        <w:rPr>
          <w:rFonts w:eastAsiaTheme="minorHAnsi" w:cs="Lucida Sans Unicode"/>
          <w:i/>
          <w:noProof/>
          <w:sz w:val="20"/>
          <w:szCs w:val="20"/>
        </w:rPr>
        <w:br/>
      </w:r>
    </w:p>
    <w:p w:rsidR="008D4E86" w:rsidRDefault="008D4E86" w:rsidP="008D4E86">
      <w:pPr>
        <w:pStyle w:val="Teaser"/>
        <w:spacing w:line="240" w:lineRule="auto"/>
        <w:rPr>
          <w:sz w:val="22"/>
          <w:szCs w:val="22"/>
        </w:rPr>
      </w:pPr>
      <w:r w:rsidRPr="007A2C7F">
        <w:rPr>
          <w:rFonts w:cs="Lucida Sans Unicode"/>
          <w:noProof/>
          <w:sz w:val="22"/>
          <w:szCs w:val="22"/>
        </w:rPr>
        <w:drawing>
          <wp:inline distT="0" distB="0" distL="0" distR="0" wp14:anchorId="30B6D9AC" wp14:editId="71C96C2E">
            <wp:extent cx="2725426" cy="204407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6413" cy="2044810"/>
                    </a:xfrm>
                    <a:prstGeom prst="rect">
                      <a:avLst/>
                    </a:prstGeom>
                  </pic:spPr>
                </pic:pic>
              </a:graphicData>
            </a:graphic>
          </wp:inline>
        </w:drawing>
      </w:r>
    </w:p>
    <w:p w:rsidR="008D4E86" w:rsidRDefault="008D4E86" w:rsidP="003A0C74">
      <w:pPr>
        <w:spacing w:after="200"/>
        <w:rPr>
          <w:rFonts w:eastAsiaTheme="minorHAnsi" w:cs="Lucida Sans Unicode"/>
          <w:i/>
          <w:noProof/>
          <w:sz w:val="20"/>
          <w:szCs w:val="20"/>
        </w:rPr>
      </w:pPr>
      <w:r w:rsidRPr="003A0C74">
        <w:rPr>
          <w:rFonts w:eastAsiaTheme="minorHAnsi" w:cs="Lucida Sans Unicode"/>
          <w:i/>
          <w:noProof/>
          <w:sz w:val="20"/>
          <w:szCs w:val="20"/>
        </w:rPr>
        <w:t>Bild 3: Je nach Einsatzzweck stehen für die Deckenleuchten vier verschiedene Optiken aus PLEXIGLAS® zur Verfügung. (Foto: Zumtobel)</w:t>
      </w:r>
    </w:p>
    <w:p w:rsidR="003A0C74" w:rsidRPr="003A0C74" w:rsidRDefault="003A0C74" w:rsidP="003A0C74">
      <w:pPr>
        <w:spacing w:after="200"/>
        <w:rPr>
          <w:rFonts w:eastAsiaTheme="minorHAnsi" w:cs="Lucida Sans Unicode"/>
          <w:i/>
          <w:noProof/>
          <w:sz w:val="20"/>
          <w:szCs w:val="20"/>
        </w:rPr>
      </w:pPr>
    </w:p>
    <w:p w:rsidR="00F420B0" w:rsidRPr="00F420B0" w:rsidRDefault="00F420B0" w:rsidP="00F420B0">
      <w:pPr>
        <w:autoSpaceDE w:val="0"/>
        <w:autoSpaceDN w:val="0"/>
        <w:adjustRightInd w:val="0"/>
        <w:spacing w:line="220" w:lineRule="exact"/>
        <w:rPr>
          <w:rFonts w:cs="Lucida Sans Unicode"/>
          <w:b/>
          <w:sz w:val="18"/>
          <w:szCs w:val="18"/>
        </w:rPr>
      </w:pPr>
      <w:r w:rsidRPr="00F420B0">
        <w:rPr>
          <w:rFonts w:cs="Lucida Sans Unicode"/>
          <w:b/>
          <w:sz w:val="18"/>
          <w:szCs w:val="18"/>
        </w:rPr>
        <w:t>Über Evonik</w:t>
      </w:r>
    </w:p>
    <w:p w:rsidR="00031378" w:rsidRDefault="00031378" w:rsidP="00031378">
      <w:pPr>
        <w:spacing w:line="220" w:lineRule="exact"/>
        <w:rPr>
          <w:rFonts w:ascii="Calibri" w:hAnsi="Calibri"/>
          <w:sz w:val="18"/>
          <w:szCs w:val="18"/>
        </w:rPr>
      </w:pPr>
      <w:r>
        <w:rPr>
          <w:sz w:val="18"/>
          <w:szCs w:val="18"/>
        </w:rPr>
        <w:t>Evonik, der kreative Industriekonzern aus Deutschland, ist eines der weltweit führenden Unternehmen der Spezialchemie. Profitables Wachstum und eine nachhaltige Steigerung des Unternehmenswertes stehen im Mittelpunkt der Unternehmensstrategie. Evonik ist mit rund 35.000 Mitarbeitern in mehr als 100 Ländern der Welt aktiv und profitiert besonders von seiner Innovationskraft und seinen integrierten Technologieplattformen. Im Geschäftsjahr 2016 erwirtschaftete das Unternehmen bei einem Umsatz von 12,7 Mrd. Euro einen Gewinn (bereinigtes EBITDA) von 2,165 Mrd. Euro.</w:t>
      </w:r>
    </w:p>
    <w:p w:rsidR="00F420B0" w:rsidRPr="00F420B0" w:rsidRDefault="00F420B0" w:rsidP="00F420B0">
      <w:pPr>
        <w:autoSpaceDE w:val="0"/>
        <w:autoSpaceDN w:val="0"/>
        <w:adjustRightInd w:val="0"/>
        <w:spacing w:line="220" w:lineRule="exact"/>
        <w:rPr>
          <w:rFonts w:cs="Lucida Sans Unicode"/>
          <w:sz w:val="18"/>
          <w:szCs w:val="18"/>
        </w:rPr>
      </w:pPr>
    </w:p>
    <w:p w:rsidR="00F420B0" w:rsidRPr="00F420B0" w:rsidRDefault="00F420B0" w:rsidP="00F420B0">
      <w:pPr>
        <w:autoSpaceDE w:val="0"/>
        <w:autoSpaceDN w:val="0"/>
        <w:adjustRightInd w:val="0"/>
        <w:spacing w:line="220" w:lineRule="exact"/>
        <w:rPr>
          <w:rFonts w:cs="Lucida Sans Unicode"/>
          <w:b/>
          <w:sz w:val="18"/>
          <w:szCs w:val="18"/>
        </w:rPr>
      </w:pPr>
      <w:r w:rsidRPr="00F420B0">
        <w:rPr>
          <w:rFonts w:cs="Lucida Sans Unicode"/>
          <w:b/>
          <w:sz w:val="18"/>
          <w:szCs w:val="18"/>
        </w:rPr>
        <w:t>Über Performance Materials</w:t>
      </w:r>
    </w:p>
    <w:p w:rsidR="00F420B0" w:rsidRPr="00F420B0" w:rsidRDefault="00F420B0" w:rsidP="00F420B0">
      <w:pPr>
        <w:autoSpaceDE w:val="0"/>
        <w:autoSpaceDN w:val="0"/>
        <w:adjustRightInd w:val="0"/>
        <w:spacing w:line="220" w:lineRule="exact"/>
        <w:rPr>
          <w:rFonts w:cs="Lucida Sans Unicode"/>
          <w:sz w:val="18"/>
          <w:szCs w:val="18"/>
        </w:rPr>
      </w:pPr>
      <w:r w:rsidRPr="00F420B0">
        <w:rPr>
          <w:rFonts w:cs="Lucida Sans Unicode"/>
          <w:sz w:val="18"/>
          <w:szCs w:val="18"/>
        </w:rPr>
        <w:t>Das Segment Performance Materials wird von der Evonik Performance Materials GmbH geführt. Im Mittelpunkt der weltweiten Aktivitäten des Segments stehen die Entwicklung und Herstellung von polymeren Werkstoffen sowie Zwischenprodukten vor allem für die Gummi- und Kunststoffindustrie sowie für die Agroindustrie. Das Segment erwirtschaftete im Geschäftsjahr 201</w:t>
      </w:r>
      <w:r w:rsidR="00031378">
        <w:rPr>
          <w:rFonts w:cs="Lucida Sans Unicode"/>
          <w:sz w:val="18"/>
          <w:szCs w:val="18"/>
        </w:rPr>
        <w:t>6</w:t>
      </w:r>
      <w:r w:rsidRPr="00F420B0">
        <w:rPr>
          <w:rFonts w:cs="Lucida Sans Unicode"/>
          <w:sz w:val="18"/>
          <w:szCs w:val="18"/>
        </w:rPr>
        <w:t xml:space="preserve"> mit rund 4.400 Mitarbeitern einen Umsatz von 3,</w:t>
      </w:r>
      <w:r w:rsidR="00031378">
        <w:rPr>
          <w:rFonts w:cs="Lucida Sans Unicode"/>
          <w:sz w:val="18"/>
          <w:szCs w:val="18"/>
        </w:rPr>
        <w:t>2</w:t>
      </w:r>
      <w:r w:rsidRPr="00F420B0">
        <w:rPr>
          <w:rFonts w:cs="Lucida Sans Unicode"/>
          <w:sz w:val="18"/>
          <w:szCs w:val="18"/>
        </w:rPr>
        <w:t xml:space="preserve"> Milliarden €.</w:t>
      </w:r>
    </w:p>
    <w:p w:rsidR="00F420B0" w:rsidRPr="00F420B0" w:rsidRDefault="00F420B0" w:rsidP="00F420B0">
      <w:pPr>
        <w:autoSpaceDE w:val="0"/>
        <w:autoSpaceDN w:val="0"/>
        <w:adjustRightInd w:val="0"/>
        <w:spacing w:line="220" w:lineRule="exact"/>
        <w:rPr>
          <w:rFonts w:cs="Lucida Sans Unicode"/>
          <w:sz w:val="18"/>
          <w:szCs w:val="18"/>
        </w:rPr>
      </w:pPr>
    </w:p>
    <w:p w:rsidR="00F420B0" w:rsidRPr="00F420B0" w:rsidRDefault="00F420B0" w:rsidP="00F420B0">
      <w:pPr>
        <w:autoSpaceDE w:val="0"/>
        <w:autoSpaceDN w:val="0"/>
        <w:adjustRightInd w:val="0"/>
        <w:spacing w:line="220" w:lineRule="exact"/>
        <w:rPr>
          <w:rFonts w:cs="Lucida Sans Unicode"/>
          <w:b/>
          <w:sz w:val="18"/>
          <w:szCs w:val="18"/>
        </w:rPr>
      </w:pPr>
      <w:r w:rsidRPr="00F420B0">
        <w:rPr>
          <w:rFonts w:cs="Lucida Sans Unicode"/>
          <w:b/>
          <w:sz w:val="18"/>
          <w:szCs w:val="18"/>
        </w:rPr>
        <w:t>Rechtlicher Hinweis</w:t>
      </w:r>
    </w:p>
    <w:p w:rsidR="00F420B0" w:rsidRPr="00F420B0" w:rsidRDefault="00F420B0" w:rsidP="00F420B0">
      <w:pPr>
        <w:autoSpaceDE w:val="0"/>
        <w:autoSpaceDN w:val="0"/>
        <w:adjustRightInd w:val="0"/>
        <w:spacing w:line="220" w:lineRule="exact"/>
        <w:rPr>
          <w:rFonts w:cs="Lucida Sans Unicode"/>
          <w:sz w:val="18"/>
          <w:szCs w:val="18"/>
        </w:rPr>
      </w:pPr>
      <w:r w:rsidRPr="00F420B0">
        <w:rPr>
          <w:rFonts w:cs="Lucida Sans Unicode"/>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w:t>
      </w:r>
      <w:r w:rsidR="008C61BE">
        <w:rPr>
          <w:rFonts w:cs="Lucida Sans Unicode"/>
          <w:sz w:val="18"/>
          <w:szCs w:val="18"/>
        </w:rPr>
        <w:t xml:space="preserve"> oder Aussagen zu aktualisieren</w:t>
      </w:r>
      <w:r w:rsidR="00313A98">
        <w:rPr>
          <w:rFonts w:cs="Lucida Sans Unicode"/>
          <w:sz w:val="18"/>
          <w:szCs w:val="18"/>
        </w:rPr>
        <w:t>.</w:t>
      </w:r>
      <w:bookmarkStart w:id="0" w:name="_GoBack"/>
      <w:bookmarkEnd w:id="0"/>
    </w:p>
    <w:sectPr w:rsidR="00F420B0" w:rsidRPr="00F420B0" w:rsidSect="00D333AA">
      <w:headerReference w:type="default" r:id="rId10"/>
      <w:footerReference w:type="default" r:id="rId11"/>
      <w:headerReference w:type="first" r:id="rId12"/>
      <w:footerReference w:type="first" r:id="rId13"/>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3AA" w:rsidRDefault="00D333AA" w:rsidP="00FD1184">
      <w:r>
        <w:separator/>
      </w:r>
    </w:p>
  </w:endnote>
  <w:endnote w:type="continuationSeparator" w:id="0">
    <w:p w:rsidR="00D333AA" w:rsidRDefault="00D333AA"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4BC" w:rsidRDefault="00C144BC">
    <w:pPr>
      <w:pStyle w:val="Fuzeile"/>
    </w:pPr>
  </w:p>
  <w:p w:rsidR="00C144BC" w:rsidRDefault="00C144BC">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313A98">
      <w:rPr>
        <w:rStyle w:val="Seitenzahl"/>
        <w:noProof/>
      </w:rPr>
      <w:t>4</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313A98">
      <w:rPr>
        <w:rStyle w:val="Seitenzahl"/>
        <w:noProof/>
      </w:rPr>
      <w:t>4</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4BC" w:rsidRDefault="00C144BC" w:rsidP="00316EC0">
    <w:pPr>
      <w:pStyle w:val="Fuzeile"/>
    </w:pPr>
  </w:p>
  <w:p w:rsidR="00C144BC" w:rsidRPr="005225EC" w:rsidRDefault="00C144BC"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313A98">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313A98">
      <w:rPr>
        <w:rStyle w:val="Seitenzahl"/>
        <w:noProof/>
        <w:szCs w:val="18"/>
      </w:rPr>
      <w:t>4</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3AA" w:rsidRDefault="00D333AA" w:rsidP="00FD1184">
      <w:r>
        <w:separator/>
      </w:r>
    </w:p>
  </w:footnote>
  <w:footnote w:type="continuationSeparator" w:id="0">
    <w:p w:rsidR="00D333AA" w:rsidRDefault="00D333AA"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4BC" w:rsidRPr="006C35A6" w:rsidRDefault="00B85905" w:rsidP="00316EC0">
    <w:pPr>
      <w:pStyle w:val="Kopfzeile"/>
      <w:spacing w:after="1880"/>
      <w:rPr>
        <w:sz w:val="2"/>
        <w:szCs w:val="2"/>
      </w:rPr>
    </w:pPr>
    <w:r>
      <w:rPr>
        <w:noProof/>
      </w:rPr>
      <w:drawing>
        <wp:anchor distT="0" distB="0" distL="114300" distR="114300" simplePos="0" relativeHeight="251665408" behindDoc="0" locked="0" layoutInCell="1" allowOverlap="1" wp14:anchorId="4A647F48" wp14:editId="0C73BC49">
          <wp:simplePos x="0" y="0"/>
          <wp:positionH relativeFrom="column">
            <wp:posOffset>0</wp:posOffset>
          </wp:positionH>
          <wp:positionV relativeFrom="paragraph">
            <wp:posOffset>-17780</wp:posOffset>
          </wp:positionV>
          <wp:extent cx="1296000" cy="187200"/>
          <wp:effectExtent l="0" t="0" r="0" b="3810"/>
          <wp:wrapNone/>
          <wp:docPr id="4"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B1" w:rsidRPr="006C35A6">
      <w:rPr>
        <w:noProof/>
        <w:sz w:val="2"/>
        <w:szCs w:val="2"/>
      </w:rPr>
      <w:drawing>
        <wp:anchor distT="0" distB="0" distL="114300" distR="114300" simplePos="0" relativeHeight="251661312" behindDoc="1" locked="0" layoutInCell="1" allowOverlap="1" wp14:anchorId="204CB72E" wp14:editId="3A1C3222">
          <wp:simplePos x="0" y="0"/>
          <wp:positionH relativeFrom="column">
            <wp:posOffset>4266565</wp:posOffset>
          </wp:positionH>
          <wp:positionV relativeFrom="paragraph">
            <wp:posOffset>-144145</wp:posOffset>
          </wp:positionV>
          <wp:extent cx="1872000" cy="500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4BC" w:rsidRPr="006C35A6" w:rsidRDefault="00B85905">
    <w:pPr>
      <w:pStyle w:val="Kopfzeile"/>
      <w:rPr>
        <w:b/>
        <w:sz w:val="2"/>
        <w:szCs w:val="2"/>
      </w:rPr>
    </w:pPr>
    <w:r>
      <w:rPr>
        <w:noProof/>
      </w:rPr>
      <w:drawing>
        <wp:anchor distT="0" distB="0" distL="114300" distR="114300" simplePos="0" relativeHeight="251663360" behindDoc="0" locked="0" layoutInCell="1" allowOverlap="1" wp14:anchorId="098E660E" wp14:editId="36EDCC7A">
          <wp:simplePos x="0" y="0"/>
          <wp:positionH relativeFrom="column">
            <wp:posOffset>0</wp:posOffset>
          </wp:positionH>
          <wp:positionV relativeFrom="paragraph">
            <wp:posOffset>-17780</wp:posOffset>
          </wp:positionV>
          <wp:extent cx="1296000" cy="187200"/>
          <wp:effectExtent l="0" t="0" r="0" b="3810"/>
          <wp:wrapNone/>
          <wp:docPr id="3" name="Bild 26" descr="Schriftzug_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hriftzug_Pressemitteil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18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B1" w:rsidRPr="006C35A6">
      <w:rPr>
        <w:b/>
        <w:noProof/>
        <w:sz w:val="2"/>
        <w:szCs w:val="2"/>
      </w:rPr>
      <w:drawing>
        <wp:anchor distT="0" distB="0" distL="114300" distR="114300" simplePos="0" relativeHeight="251660288" behindDoc="1" locked="0" layoutInCell="1" allowOverlap="1" wp14:anchorId="600E6D40" wp14:editId="24820A17">
          <wp:simplePos x="0" y="0"/>
          <wp:positionH relativeFrom="column">
            <wp:posOffset>4266565</wp:posOffset>
          </wp:positionH>
          <wp:positionV relativeFrom="paragraph">
            <wp:posOffset>-144145</wp:posOffset>
          </wp:positionV>
          <wp:extent cx="1872000" cy="5004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8086101E"/>
    <w:lvl w:ilvl="0" w:tplc="A40AA642">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3AA"/>
    <w:rsid w:val="00007459"/>
    <w:rsid w:val="00031378"/>
    <w:rsid w:val="00035360"/>
    <w:rsid w:val="00044EB8"/>
    <w:rsid w:val="00046D8D"/>
    <w:rsid w:val="00047E57"/>
    <w:rsid w:val="00052FB1"/>
    <w:rsid w:val="0006177F"/>
    <w:rsid w:val="00084555"/>
    <w:rsid w:val="000846DA"/>
    <w:rsid w:val="00086556"/>
    <w:rsid w:val="000902FA"/>
    <w:rsid w:val="00092F83"/>
    <w:rsid w:val="000A0DDB"/>
    <w:rsid w:val="000A7091"/>
    <w:rsid w:val="000B1B97"/>
    <w:rsid w:val="000B4D73"/>
    <w:rsid w:val="000D1DD8"/>
    <w:rsid w:val="000E06AB"/>
    <w:rsid w:val="000F70A3"/>
    <w:rsid w:val="001175D3"/>
    <w:rsid w:val="00124443"/>
    <w:rsid w:val="00130512"/>
    <w:rsid w:val="001625AF"/>
    <w:rsid w:val="001631E8"/>
    <w:rsid w:val="00165932"/>
    <w:rsid w:val="0017414F"/>
    <w:rsid w:val="00196518"/>
    <w:rsid w:val="001B17B1"/>
    <w:rsid w:val="001B206A"/>
    <w:rsid w:val="001F00B7"/>
    <w:rsid w:val="001F7C26"/>
    <w:rsid w:val="002159BA"/>
    <w:rsid w:val="00221C32"/>
    <w:rsid w:val="0022399B"/>
    <w:rsid w:val="0023466C"/>
    <w:rsid w:val="0024351A"/>
    <w:rsid w:val="0024351E"/>
    <w:rsid w:val="002465EB"/>
    <w:rsid w:val="00247D5A"/>
    <w:rsid w:val="00262EE6"/>
    <w:rsid w:val="00266B39"/>
    <w:rsid w:val="002771D9"/>
    <w:rsid w:val="00287090"/>
    <w:rsid w:val="00290F07"/>
    <w:rsid w:val="002922C1"/>
    <w:rsid w:val="002B6293"/>
    <w:rsid w:val="002B645E"/>
    <w:rsid w:val="002B6B13"/>
    <w:rsid w:val="002C10C6"/>
    <w:rsid w:val="002C12A0"/>
    <w:rsid w:val="002D206A"/>
    <w:rsid w:val="002D2996"/>
    <w:rsid w:val="00301998"/>
    <w:rsid w:val="003067D4"/>
    <w:rsid w:val="00310E34"/>
    <w:rsid w:val="00313A98"/>
    <w:rsid w:val="00316EC0"/>
    <w:rsid w:val="003402B9"/>
    <w:rsid w:val="003449DC"/>
    <w:rsid w:val="00344E3B"/>
    <w:rsid w:val="003508E4"/>
    <w:rsid w:val="00367974"/>
    <w:rsid w:val="0038039B"/>
    <w:rsid w:val="00380845"/>
    <w:rsid w:val="00384C52"/>
    <w:rsid w:val="00387368"/>
    <w:rsid w:val="003A023D"/>
    <w:rsid w:val="003A0C74"/>
    <w:rsid w:val="003A1BB1"/>
    <w:rsid w:val="003A4CED"/>
    <w:rsid w:val="003C0198"/>
    <w:rsid w:val="003D3C20"/>
    <w:rsid w:val="003D4B5B"/>
    <w:rsid w:val="003D6E84"/>
    <w:rsid w:val="003E4161"/>
    <w:rsid w:val="003F01FD"/>
    <w:rsid w:val="004016F5"/>
    <w:rsid w:val="004146D3"/>
    <w:rsid w:val="00422338"/>
    <w:rsid w:val="00425650"/>
    <w:rsid w:val="00432732"/>
    <w:rsid w:val="00476F6F"/>
    <w:rsid w:val="0047761E"/>
    <w:rsid w:val="0048125C"/>
    <w:rsid w:val="004815AA"/>
    <w:rsid w:val="004820F9"/>
    <w:rsid w:val="004863E2"/>
    <w:rsid w:val="00491C7E"/>
    <w:rsid w:val="0049367A"/>
    <w:rsid w:val="004A28CF"/>
    <w:rsid w:val="004A5E45"/>
    <w:rsid w:val="004C520C"/>
    <w:rsid w:val="004C5E53"/>
    <w:rsid w:val="004E04B2"/>
    <w:rsid w:val="004E1DCE"/>
    <w:rsid w:val="004E27F6"/>
    <w:rsid w:val="004E3505"/>
    <w:rsid w:val="004F0B24"/>
    <w:rsid w:val="004F1444"/>
    <w:rsid w:val="005020EF"/>
    <w:rsid w:val="005225EC"/>
    <w:rsid w:val="005337DD"/>
    <w:rsid w:val="0054369C"/>
    <w:rsid w:val="005475F4"/>
    <w:rsid w:val="00552ADA"/>
    <w:rsid w:val="00554C5A"/>
    <w:rsid w:val="0057548A"/>
    <w:rsid w:val="00582643"/>
    <w:rsid w:val="00582C0E"/>
    <w:rsid w:val="00587C52"/>
    <w:rsid w:val="005A119C"/>
    <w:rsid w:val="005A73EC"/>
    <w:rsid w:val="005B3BD7"/>
    <w:rsid w:val="005E0397"/>
    <w:rsid w:val="005E2310"/>
    <w:rsid w:val="005E4DD7"/>
    <w:rsid w:val="005E799F"/>
    <w:rsid w:val="005F234C"/>
    <w:rsid w:val="005F50D9"/>
    <w:rsid w:val="00605C02"/>
    <w:rsid w:val="00606435"/>
    <w:rsid w:val="00606A38"/>
    <w:rsid w:val="00623460"/>
    <w:rsid w:val="00636C35"/>
    <w:rsid w:val="00645F2F"/>
    <w:rsid w:val="00647919"/>
    <w:rsid w:val="00652A75"/>
    <w:rsid w:val="006651E2"/>
    <w:rsid w:val="006729D2"/>
    <w:rsid w:val="006A581A"/>
    <w:rsid w:val="006C35A6"/>
    <w:rsid w:val="006C388A"/>
    <w:rsid w:val="006D601A"/>
    <w:rsid w:val="006E2F15"/>
    <w:rsid w:val="006F3AB9"/>
    <w:rsid w:val="007014DC"/>
    <w:rsid w:val="00705D9E"/>
    <w:rsid w:val="00717EDA"/>
    <w:rsid w:val="0072366D"/>
    <w:rsid w:val="00731495"/>
    <w:rsid w:val="00736723"/>
    <w:rsid w:val="00744FA6"/>
    <w:rsid w:val="00751E3D"/>
    <w:rsid w:val="00763004"/>
    <w:rsid w:val="00770879"/>
    <w:rsid w:val="00775D2E"/>
    <w:rsid w:val="00784360"/>
    <w:rsid w:val="007A2C47"/>
    <w:rsid w:val="007C42FA"/>
    <w:rsid w:val="007E025C"/>
    <w:rsid w:val="007E5A2B"/>
    <w:rsid w:val="007E7C76"/>
    <w:rsid w:val="007F1506"/>
    <w:rsid w:val="007F200A"/>
    <w:rsid w:val="00800AA9"/>
    <w:rsid w:val="00826AB1"/>
    <w:rsid w:val="00834E44"/>
    <w:rsid w:val="00836B9A"/>
    <w:rsid w:val="0084389E"/>
    <w:rsid w:val="00846E59"/>
    <w:rsid w:val="00860A6B"/>
    <w:rsid w:val="00885442"/>
    <w:rsid w:val="00894378"/>
    <w:rsid w:val="008A0D35"/>
    <w:rsid w:val="008B03E0"/>
    <w:rsid w:val="008B7AFE"/>
    <w:rsid w:val="008C00D3"/>
    <w:rsid w:val="008C06FF"/>
    <w:rsid w:val="008C2187"/>
    <w:rsid w:val="008C61BE"/>
    <w:rsid w:val="008D4E86"/>
    <w:rsid w:val="008D5A15"/>
    <w:rsid w:val="008E2636"/>
    <w:rsid w:val="008E7921"/>
    <w:rsid w:val="008F49C5"/>
    <w:rsid w:val="008F4A69"/>
    <w:rsid w:val="009031FF"/>
    <w:rsid w:val="0090621C"/>
    <w:rsid w:val="00915982"/>
    <w:rsid w:val="00921EF8"/>
    <w:rsid w:val="00922A0A"/>
    <w:rsid w:val="0092775B"/>
    <w:rsid w:val="00934DE5"/>
    <w:rsid w:val="00935881"/>
    <w:rsid w:val="009560C1"/>
    <w:rsid w:val="00966112"/>
    <w:rsid w:val="00971345"/>
    <w:rsid w:val="009752DC"/>
    <w:rsid w:val="0097547F"/>
    <w:rsid w:val="00977987"/>
    <w:rsid w:val="00992553"/>
    <w:rsid w:val="009A2F60"/>
    <w:rsid w:val="009A7CDC"/>
    <w:rsid w:val="009B1AD8"/>
    <w:rsid w:val="009C40DA"/>
    <w:rsid w:val="009C5F4B"/>
    <w:rsid w:val="009E3A1C"/>
    <w:rsid w:val="009F05F2"/>
    <w:rsid w:val="009F07B1"/>
    <w:rsid w:val="00A1593C"/>
    <w:rsid w:val="00A16154"/>
    <w:rsid w:val="00A30BD0"/>
    <w:rsid w:val="00A333FB"/>
    <w:rsid w:val="00A3644E"/>
    <w:rsid w:val="00A41C88"/>
    <w:rsid w:val="00A6056D"/>
    <w:rsid w:val="00A60CE5"/>
    <w:rsid w:val="00A70C5E"/>
    <w:rsid w:val="00A712B8"/>
    <w:rsid w:val="00A777B7"/>
    <w:rsid w:val="00A81F2D"/>
    <w:rsid w:val="00AC12EE"/>
    <w:rsid w:val="00AE3848"/>
    <w:rsid w:val="00AF0606"/>
    <w:rsid w:val="00B128FD"/>
    <w:rsid w:val="00B2025B"/>
    <w:rsid w:val="00B2500C"/>
    <w:rsid w:val="00B300C4"/>
    <w:rsid w:val="00B31D5A"/>
    <w:rsid w:val="00B46BD0"/>
    <w:rsid w:val="00B471AD"/>
    <w:rsid w:val="00B50494"/>
    <w:rsid w:val="00B811DE"/>
    <w:rsid w:val="00B85905"/>
    <w:rsid w:val="00B9478A"/>
    <w:rsid w:val="00BA41A7"/>
    <w:rsid w:val="00BA4EB5"/>
    <w:rsid w:val="00BA584D"/>
    <w:rsid w:val="00BA6649"/>
    <w:rsid w:val="00BC1D7E"/>
    <w:rsid w:val="00BD10E1"/>
    <w:rsid w:val="00BE1628"/>
    <w:rsid w:val="00BE72A5"/>
    <w:rsid w:val="00BF0F5C"/>
    <w:rsid w:val="00BF2CEC"/>
    <w:rsid w:val="00BF30BC"/>
    <w:rsid w:val="00BF70B0"/>
    <w:rsid w:val="00BF7733"/>
    <w:rsid w:val="00C144BC"/>
    <w:rsid w:val="00C21FFE"/>
    <w:rsid w:val="00C2259A"/>
    <w:rsid w:val="00C242F2"/>
    <w:rsid w:val="00C251AD"/>
    <w:rsid w:val="00C310A2"/>
    <w:rsid w:val="00C33407"/>
    <w:rsid w:val="00C40E5D"/>
    <w:rsid w:val="00C41F0E"/>
    <w:rsid w:val="00C4228E"/>
    <w:rsid w:val="00C4300F"/>
    <w:rsid w:val="00C54A2A"/>
    <w:rsid w:val="00C60F15"/>
    <w:rsid w:val="00C62002"/>
    <w:rsid w:val="00C930F0"/>
    <w:rsid w:val="00CB3A53"/>
    <w:rsid w:val="00CC69A5"/>
    <w:rsid w:val="00CD18DB"/>
    <w:rsid w:val="00CE2E92"/>
    <w:rsid w:val="00CF2E07"/>
    <w:rsid w:val="00CF3942"/>
    <w:rsid w:val="00D129CF"/>
    <w:rsid w:val="00D333AA"/>
    <w:rsid w:val="00D35567"/>
    <w:rsid w:val="00D418FB"/>
    <w:rsid w:val="00D46695"/>
    <w:rsid w:val="00D46DAB"/>
    <w:rsid w:val="00D50B3E"/>
    <w:rsid w:val="00D55961"/>
    <w:rsid w:val="00D60C11"/>
    <w:rsid w:val="00D60EE3"/>
    <w:rsid w:val="00D67640"/>
    <w:rsid w:val="00D72A07"/>
    <w:rsid w:val="00D84239"/>
    <w:rsid w:val="00D90774"/>
    <w:rsid w:val="00D95388"/>
    <w:rsid w:val="00D96E15"/>
    <w:rsid w:val="00DA639C"/>
    <w:rsid w:val="00DB3E3C"/>
    <w:rsid w:val="00DC378A"/>
    <w:rsid w:val="00DD310A"/>
    <w:rsid w:val="00DD3173"/>
    <w:rsid w:val="00DE534A"/>
    <w:rsid w:val="00DE7850"/>
    <w:rsid w:val="00DE79ED"/>
    <w:rsid w:val="00E05BB2"/>
    <w:rsid w:val="00E120CF"/>
    <w:rsid w:val="00E13506"/>
    <w:rsid w:val="00E172A1"/>
    <w:rsid w:val="00E363F0"/>
    <w:rsid w:val="00E430EA"/>
    <w:rsid w:val="00E44B62"/>
    <w:rsid w:val="00E67709"/>
    <w:rsid w:val="00E8576B"/>
    <w:rsid w:val="00E97290"/>
    <w:rsid w:val="00EB0C3E"/>
    <w:rsid w:val="00EC012C"/>
    <w:rsid w:val="00EC2C4D"/>
    <w:rsid w:val="00EC6416"/>
    <w:rsid w:val="00ED29C6"/>
    <w:rsid w:val="00EE72D7"/>
    <w:rsid w:val="00EF353E"/>
    <w:rsid w:val="00EF7EB3"/>
    <w:rsid w:val="00F02BAF"/>
    <w:rsid w:val="00F07F0E"/>
    <w:rsid w:val="00F24D2F"/>
    <w:rsid w:val="00F420B0"/>
    <w:rsid w:val="00F47702"/>
    <w:rsid w:val="00F5602B"/>
    <w:rsid w:val="00F5608E"/>
    <w:rsid w:val="00F66FEE"/>
    <w:rsid w:val="00F708E8"/>
    <w:rsid w:val="00F7378A"/>
    <w:rsid w:val="00F77541"/>
    <w:rsid w:val="00F87DB6"/>
    <w:rsid w:val="00F94E80"/>
    <w:rsid w:val="00FA151A"/>
    <w:rsid w:val="00FA30D7"/>
    <w:rsid w:val="00FA5164"/>
    <w:rsid w:val="00FA5F5C"/>
    <w:rsid w:val="00FA6612"/>
    <w:rsid w:val="00FD0461"/>
    <w:rsid w:val="00FD1184"/>
    <w:rsid w:val="00FD54F3"/>
    <w:rsid w:val="00FE676A"/>
    <w:rsid w:val="00FE6F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B77F92A6-DBDA-43DE-B537-A3F8C715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F0F5C"/>
    <w:pPr>
      <w:keepNext/>
      <w:numPr>
        <w:numId w:val="31"/>
      </w:numPr>
      <w:spacing w:before="30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spacing w:before="0"/>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customStyle="1" w:styleId="M8">
    <w:name w:val="M8"/>
    <w:basedOn w:val="Standard"/>
    <w:rsid w:val="000B1B97"/>
    <w:pPr>
      <w:framePr w:wrap="around" w:vAnchor="page" w:hAnchor="page" w:x="8971" w:y="3222"/>
      <w:tabs>
        <w:tab w:val="left" w:pos="518"/>
      </w:tabs>
      <w:spacing w:line="180" w:lineRule="exact"/>
      <w:suppressOverlap/>
    </w:pPr>
    <w:rPr>
      <w:sz w:val="13"/>
    </w:rPr>
  </w:style>
  <w:style w:type="paragraph" w:customStyle="1" w:styleId="M9">
    <w:name w:val="M9"/>
    <w:basedOn w:val="Standard"/>
    <w:rsid w:val="000B1B97"/>
    <w:pPr>
      <w:framePr w:wrap="around" w:vAnchor="page" w:hAnchor="page" w:x="8971" w:y="3222"/>
      <w:tabs>
        <w:tab w:val="left" w:pos="518"/>
      </w:tabs>
      <w:spacing w:line="180" w:lineRule="exact"/>
      <w:suppressOverlap/>
    </w:pPr>
    <w:rPr>
      <w:sz w:val="13"/>
    </w:rPr>
  </w:style>
  <w:style w:type="paragraph" w:customStyle="1" w:styleId="M10">
    <w:name w:val="M10"/>
    <w:basedOn w:val="Standard"/>
    <w:rsid w:val="000B1B97"/>
    <w:pPr>
      <w:framePr w:wrap="around" w:vAnchor="page" w:hAnchor="page" w:x="8971" w:y="3222"/>
      <w:tabs>
        <w:tab w:val="left" w:pos="518"/>
      </w:tabs>
      <w:spacing w:line="180" w:lineRule="exact"/>
      <w:suppressOverlap/>
    </w:pPr>
    <w:rPr>
      <w:sz w:val="13"/>
      <w:lang w:val="nb-NO"/>
    </w:rPr>
  </w:style>
  <w:style w:type="paragraph" w:customStyle="1" w:styleId="M7">
    <w:name w:val="M7"/>
    <w:basedOn w:val="Standard"/>
    <w:rsid w:val="000B1B97"/>
    <w:pPr>
      <w:framePr w:wrap="around" w:vAnchor="page" w:hAnchor="page" w:x="8971" w:y="3222"/>
      <w:tabs>
        <w:tab w:val="left" w:pos="518"/>
      </w:tabs>
      <w:spacing w:line="180" w:lineRule="exact"/>
      <w:suppressOverlap/>
    </w:pPr>
    <w:rPr>
      <w:b/>
      <w:bCs/>
      <w:sz w:val="13"/>
    </w:rPr>
  </w:style>
  <w:style w:type="paragraph" w:customStyle="1" w:styleId="M12">
    <w:name w:val="M12"/>
    <w:basedOn w:val="Standard"/>
    <w:rsid w:val="000B1B97"/>
    <w:pPr>
      <w:framePr w:wrap="around" w:vAnchor="page" w:hAnchor="page" w:x="8971" w:y="3222"/>
      <w:tabs>
        <w:tab w:val="left" w:pos="518"/>
      </w:tabs>
      <w:spacing w:line="180" w:lineRule="exact"/>
      <w:suppressOverlap/>
    </w:pPr>
    <w:rPr>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360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EEFC7AB3</Template>
  <TotalTime>0</TotalTime>
  <Pages>4</Pages>
  <Words>931</Words>
  <Characters>6405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Pressemitteilung Evonik, deutsch, Stand: 01.09.2016</vt:lpstr>
    </vt:vector>
  </TitlesOfParts>
  <Company/>
  <LinksUpToDate>false</LinksUpToDate>
  <CharactersWithSpaces>7322</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Hoegg, Petra</dc:creator>
  <dc:description/>
  <cp:lastModifiedBy>Berger, Kamila Ewa (external)</cp:lastModifiedBy>
  <cp:revision>5</cp:revision>
  <cp:lastPrinted>2017-04-20T11:23:00Z</cp:lastPrinted>
  <dcterms:created xsi:type="dcterms:W3CDTF">2017-04-20T11:22:00Z</dcterms:created>
  <dcterms:modified xsi:type="dcterms:W3CDTF">2017-04-20T12:21:00Z</dcterms:modified>
</cp:coreProperties>
</file>