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3C81F89A" w:rsidR="004F1918" w:rsidRPr="004F1918" w:rsidRDefault="00CA51D2" w:rsidP="004F1918">
            <w:pPr>
              <w:pStyle w:val="M7"/>
              <w:framePr w:wrap="auto" w:vAnchor="margin" w:hAnchor="text" w:xAlign="left" w:yAlign="inline"/>
              <w:suppressOverlap w:val="0"/>
              <w:rPr>
                <w:b w:val="0"/>
                <w:sz w:val="18"/>
                <w:szCs w:val="18"/>
                <w:lang w:val="en-US"/>
              </w:rPr>
            </w:pPr>
            <w:r>
              <w:rPr>
                <w:b w:val="0"/>
                <w:sz w:val="18"/>
                <w:szCs w:val="18"/>
                <w:lang w:val="en-US"/>
              </w:rPr>
              <w:t>May</w:t>
            </w:r>
            <w:r w:rsidR="00070F7F">
              <w:rPr>
                <w:b w:val="0"/>
                <w:sz w:val="18"/>
                <w:szCs w:val="18"/>
                <w:lang w:val="en-US"/>
              </w:rPr>
              <w:t xml:space="preserve"> </w:t>
            </w:r>
            <w:r>
              <w:rPr>
                <w:b w:val="0"/>
                <w:sz w:val="18"/>
                <w:szCs w:val="18"/>
                <w:lang w:val="en-US"/>
              </w:rPr>
              <w:t>6</w:t>
            </w:r>
            <w:r w:rsidR="004A5B83">
              <w:rPr>
                <w:b w:val="0"/>
                <w:sz w:val="18"/>
                <w:szCs w:val="18"/>
                <w:lang w:val="en-US"/>
              </w:rPr>
              <w:t>, 20</w:t>
            </w:r>
            <w:r w:rsidR="0082181E">
              <w:rPr>
                <w:b w:val="0"/>
                <w:sz w:val="18"/>
                <w:szCs w:val="18"/>
                <w:lang w:val="en-US"/>
              </w:rPr>
              <w:t>2</w:t>
            </w:r>
            <w:r w:rsidR="00CB2A16">
              <w:rPr>
                <w:b w:val="0"/>
                <w:sz w:val="18"/>
                <w:szCs w:val="18"/>
                <w:lang w:val="en-US"/>
              </w:rPr>
              <w:t>1</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44483F02" w14:textId="15A368D4" w:rsidR="004F1918" w:rsidRPr="00F31F7C" w:rsidRDefault="004F1918" w:rsidP="00394407">
            <w:pPr>
              <w:spacing w:line="180" w:lineRule="exact"/>
              <w:rPr>
                <w:lang w:val="en-US"/>
              </w:rPr>
            </w:pP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53F1EDE9" w14:textId="77777777" w:rsidR="004768E3" w:rsidRPr="004C6AC3" w:rsidRDefault="004768E3" w:rsidP="004768E3">
      <w:pPr>
        <w:pStyle w:val="Titel"/>
        <w:rPr>
          <w:b w:val="0"/>
          <w:sz w:val="20"/>
          <w:szCs w:val="20"/>
          <w:u w:val="single"/>
          <w:lang w:val="en-US"/>
        </w:rPr>
      </w:pPr>
      <w:r w:rsidRPr="004C6AC3">
        <w:rPr>
          <w:b w:val="0"/>
          <w:sz w:val="20"/>
          <w:szCs w:val="20"/>
          <w:u w:val="single"/>
          <w:lang w:val="en-US"/>
        </w:rPr>
        <w:t xml:space="preserve">Key Financial Data: </w:t>
      </w:r>
      <w:r>
        <w:rPr>
          <w:b w:val="0"/>
          <w:sz w:val="20"/>
          <w:szCs w:val="20"/>
          <w:u w:val="single"/>
          <w:lang w:val="en-US"/>
        </w:rPr>
        <w:t>First quarter 2021</w:t>
      </w:r>
    </w:p>
    <w:p w14:paraId="6AE80AEE" w14:textId="77777777" w:rsidR="004768E3" w:rsidRDefault="004768E3" w:rsidP="004768E3">
      <w:pPr>
        <w:rPr>
          <w:b/>
          <w:bCs/>
          <w:sz w:val="24"/>
          <w:lang w:val="en-US"/>
        </w:rPr>
      </w:pPr>
    </w:p>
    <w:p w14:paraId="62F84D30" w14:textId="77777777" w:rsidR="004768E3" w:rsidRDefault="004768E3" w:rsidP="004768E3">
      <w:pPr>
        <w:rPr>
          <w:b/>
          <w:bCs/>
          <w:sz w:val="24"/>
          <w:lang w:val="en-US"/>
        </w:rPr>
      </w:pPr>
      <w:r w:rsidRPr="00150687">
        <w:rPr>
          <w:b/>
          <w:bCs/>
          <w:sz w:val="24"/>
          <w:lang w:val="en-US"/>
        </w:rPr>
        <w:t>Evonik</w:t>
      </w:r>
      <w:r>
        <w:rPr>
          <w:b/>
          <w:bCs/>
          <w:sz w:val="24"/>
          <w:lang w:val="en-US"/>
        </w:rPr>
        <w:t xml:space="preserve"> more confident about full year after a strong first quarter</w:t>
      </w:r>
    </w:p>
    <w:p w14:paraId="6AB61D9A" w14:textId="77777777" w:rsidR="004768E3" w:rsidRPr="00DD5429" w:rsidRDefault="004768E3" w:rsidP="004768E3">
      <w:pPr>
        <w:rPr>
          <w:lang w:val="en-US"/>
        </w:rPr>
      </w:pPr>
    </w:p>
    <w:p w14:paraId="679A7DC0" w14:textId="77777777" w:rsidR="004768E3" w:rsidRDefault="004768E3" w:rsidP="004768E3">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Outlook 2021: </w:t>
      </w:r>
      <w:r w:rsidRPr="00DD5429">
        <w:rPr>
          <w:rFonts w:cs="Lucida Sans Unicode"/>
          <w:sz w:val="24"/>
          <w:lang w:val="en-US"/>
        </w:rPr>
        <w:t>Adjusted EBITDA of</w:t>
      </w:r>
      <w:r>
        <w:rPr>
          <w:rFonts w:cs="Lucida Sans Unicode"/>
          <w:sz w:val="24"/>
          <w:lang w:val="en-US"/>
        </w:rPr>
        <w:t xml:space="preserve"> </w:t>
      </w:r>
      <w:r w:rsidRPr="00DD5429">
        <w:rPr>
          <w:rFonts w:cs="Lucida Sans Unicode"/>
          <w:sz w:val="24"/>
          <w:lang w:val="en-US"/>
        </w:rPr>
        <w:t>€</w:t>
      </w:r>
      <w:r>
        <w:rPr>
          <w:rFonts w:cs="Lucida Sans Unicode"/>
          <w:sz w:val="24"/>
          <w:lang w:val="en-US"/>
        </w:rPr>
        <w:t xml:space="preserve">2.1 </w:t>
      </w:r>
      <w:r w:rsidRPr="00DD5429">
        <w:rPr>
          <w:rFonts w:cs="Lucida Sans Unicode"/>
          <w:sz w:val="24"/>
          <w:lang w:val="en-US"/>
        </w:rPr>
        <w:t>billion</w:t>
      </w:r>
      <w:r>
        <w:rPr>
          <w:rFonts w:cs="Lucida Sans Unicode"/>
          <w:sz w:val="24"/>
          <w:lang w:val="en-US"/>
        </w:rPr>
        <w:t xml:space="preserve"> to</w:t>
      </w:r>
    </w:p>
    <w:p w14:paraId="2CD722AA" w14:textId="77777777" w:rsidR="004768E3" w:rsidRPr="00266A5E" w:rsidRDefault="004768E3" w:rsidP="004768E3">
      <w:pPr>
        <w:ind w:left="340" w:right="85"/>
        <w:rPr>
          <w:rFonts w:cs="Lucida Sans Unicode"/>
          <w:sz w:val="24"/>
          <w:lang w:val="en-US"/>
        </w:rPr>
      </w:pPr>
      <w:r>
        <w:rPr>
          <w:rFonts w:cs="Lucida Sans Unicode"/>
          <w:sz w:val="24"/>
          <w:lang w:val="en-US"/>
        </w:rPr>
        <w:t xml:space="preserve">€2.3 billion </w:t>
      </w:r>
    </w:p>
    <w:p w14:paraId="5459AD85" w14:textId="77777777" w:rsidR="004768E3" w:rsidRPr="00DA7FB7" w:rsidRDefault="004768E3" w:rsidP="004768E3">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Sales rise 4 percent in first quarter, a</w:t>
      </w:r>
      <w:r w:rsidRPr="00DD5429">
        <w:rPr>
          <w:rFonts w:cs="Lucida Sans Unicode"/>
          <w:sz w:val="24"/>
          <w:lang w:val="en-US"/>
        </w:rPr>
        <w:t xml:space="preserve">djusted EBITDA </w:t>
      </w:r>
      <w:r>
        <w:rPr>
          <w:rFonts w:cs="Lucida Sans Unicode"/>
          <w:sz w:val="24"/>
          <w:lang w:val="en-US"/>
        </w:rPr>
        <w:t xml:space="preserve">gains 15 percent </w:t>
      </w:r>
    </w:p>
    <w:p w14:paraId="0F62B863" w14:textId="77777777" w:rsidR="004768E3" w:rsidRDefault="004768E3" w:rsidP="004768E3">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Free cash flow almost triples to €312 million</w:t>
      </w:r>
    </w:p>
    <w:p w14:paraId="1BAEE5C6" w14:textId="77777777" w:rsidR="00622130" w:rsidRPr="00622130" w:rsidRDefault="00622130" w:rsidP="00622130">
      <w:pPr>
        <w:ind w:left="340" w:right="85"/>
        <w:rPr>
          <w:rFonts w:cs="Lucida Sans Unicode"/>
          <w:sz w:val="24"/>
          <w:lang w:val="en-US"/>
        </w:rPr>
      </w:pPr>
    </w:p>
    <w:p w14:paraId="22C2D6FD" w14:textId="77777777" w:rsidR="008A2674" w:rsidRDefault="008A2674" w:rsidP="008A2674">
      <w:pPr>
        <w:rPr>
          <w:lang w:val="en-US"/>
        </w:rPr>
      </w:pPr>
      <w:r w:rsidRPr="00DD5429">
        <w:rPr>
          <w:b/>
          <w:bCs/>
          <w:lang w:val="en-US"/>
        </w:rPr>
        <w:t>Essen, Germany</w:t>
      </w:r>
      <w:r w:rsidRPr="00DD5429">
        <w:rPr>
          <w:lang w:val="en-US"/>
        </w:rPr>
        <w:t xml:space="preserve">. </w:t>
      </w:r>
      <w:r>
        <w:rPr>
          <w:lang w:val="en-US"/>
        </w:rPr>
        <w:t xml:space="preserve">Evonik is more positive about its earnings for the year </w:t>
      </w:r>
      <w:proofErr w:type="gramStart"/>
      <w:r>
        <w:rPr>
          <w:lang w:val="en-US"/>
        </w:rPr>
        <w:t>as a whole after</w:t>
      </w:r>
      <w:proofErr w:type="gramEnd"/>
      <w:r>
        <w:rPr>
          <w:lang w:val="en-US"/>
        </w:rPr>
        <w:t xml:space="preserve"> posting a strong first quarter. Higher demand worldwide and improved selling prices in the quarter led to an increase in sales and earnings. The three growth divisions – Specialty Additives, Nutrition &amp; Care and Smart Materials - were the main driver, showing significant growth. </w:t>
      </w:r>
    </w:p>
    <w:p w14:paraId="27BE7982" w14:textId="77777777" w:rsidR="008A2674" w:rsidRPr="004207F4" w:rsidRDefault="008A2674" w:rsidP="008A2674">
      <w:pPr>
        <w:rPr>
          <w:lang w:val="en-US"/>
        </w:rPr>
      </w:pPr>
    </w:p>
    <w:p w14:paraId="514842A6" w14:textId="77777777" w:rsidR="008A2674" w:rsidRDefault="008A2674" w:rsidP="008A2674">
      <w:pPr>
        <w:rPr>
          <w:lang w:val="en-US"/>
        </w:rPr>
      </w:pPr>
      <w:r w:rsidRPr="00150687">
        <w:rPr>
          <w:lang w:val="en-US"/>
        </w:rPr>
        <w:t>"</w:t>
      </w:r>
      <w:r>
        <w:rPr>
          <w:lang w:val="en-US"/>
        </w:rPr>
        <w:t>A really good start has made us more optimistic for the year as a whole</w:t>
      </w:r>
      <w:r w:rsidRPr="00150687">
        <w:rPr>
          <w:lang w:val="en-US"/>
        </w:rPr>
        <w:t>," sa</w:t>
      </w:r>
      <w:r>
        <w:rPr>
          <w:lang w:val="en-US"/>
        </w:rPr>
        <w:t>id</w:t>
      </w:r>
      <w:r w:rsidRPr="00150687">
        <w:rPr>
          <w:lang w:val="en-US"/>
        </w:rPr>
        <w:t xml:space="preserve"> Christian Kullmann,</w:t>
      </w:r>
      <w:r>
        <w:rPr>
          <w:lang w:val="en-US"/>
        </w:rPr>
        <w:t xml:space="preserve"> c</w:t>
      </w:r>
      <w:r w:rsidRPr="00150687">
        <w:rPr>
          <w:lang w:val="en-US"/>
        </w:rPr>
        <w:t xml:space="preserve">hairman of the </w:t>
      </w:r>
      <w:r>
        <w:rPr>
          <w:lang w:val="en-US"/>
        </w:rPr>
        <w:t>b</w:t>
      </w:r>
      <w:r w:rsidRPr="00150687">
        <w:rPr>
          <w:lang w:val="en-US"/>
        </w:rPr>
        <w:t xml:space="preserve">oard of </w:t>
      </w:r>
      <w:r>
        <w:rPr>
          <w:lang w:val="en-US"/>
        </w:rPr>
        <w:t>m</w:t>
      </w:r>
      <w:r w:rsidRPr="00150687">
        <w:rPr>
          <w:lang w:val="en-US"/>
        </w:rPr>
        <w:t>anagement. "</w:t>
      </w:r>
      <w:r>
        <w:rPr>
          <w:lang w:val="en-US"/>
        </w:rPr>
        <w:t>As well as increasing earnings from last year, we even beat the pre-pandemic earnings from 2019. Our growth strategy is working.”</w:t>
      </w:r>
    </w:p>
    <w:p w14:paraId="5C31ACA6" w14:textId="77777777" w:rsidR="008A2674" w:rsidRPr="00150687" w:rsidRDefault="008A2674" w:rsidP="008A2674">
      <w:pPr>
        <w:rPr>
          <w:lang w:val="en-US"/>
        </w:rPr>
      </w:pPr>
    </w:p>
    <w:p w14:paraId="78B94E0B" w14:textId="77777777" w:rsidR="008A2674" w:rsidRPr="00274D95" w:rsidRDefault="008A2674" w:rsidP="008A2674">
      <w:pPr>
        <w:rPr>
          <w:lang w:val="en-US"/>
        </w:rPr>
      </w:pPr>
      <w:r>
        <w:rPr>
          <w:lang w:val="en-US"/>
        </w:rPr>
        <w:t xml:space="preserve">For 2021, Evonik now expects </w:t>
      </w:r>
      <w:r w:rsidRPr="00150687">
        <w:rPr>
          <w:lang w:val="en-US"/>
        </w:rPr>
        <w:t>adjusted earnings before interest, taxes, depreciation and amortization (</w:t>
      </w:r>
      <w:r>
        <w:rPr>
          <w:lang w:val="en-US"/>
        </w:rPr>
        <w:t xml:space="preserve">adjusted </w:t>
      </w:r>
      <w:r w:rsidRPr="00150687">
        <w:rPr>
          <w:lang w:val="en-US"/>
        </w:rPr>
        <w:t xml:space="preserve">EBITDA) </w:t>
      </w:r>
      <w:r>
        <w:rPr>
          <w:lang w:val="en-US"/>
        </w:rPr>
        <w:t xml:space="preserve">of between </w:t>
      </w:r>
      <w:r w:rsidRPr="00150687">
        <w:rPr>
          <w:lang w:val="en-US"/>
        </w:rPr>
        <w:t>€</w:t>
      </w:r>
      <w:r>
        <w:rPr>
          <w:lang w:val="en-US"/>
        </w:rPr>
        <w:t>2.1</w:t>
      </w:r>
      <w:r w:rsidRPr="00150687">
        <w:rPr>
          <w:lang w:val="en-US"/>
        </w:rPr>
        <w:t xml:space="preserve"> billion </w:t>
      </w:r>
      <w:r>
        <w:rPr>
          <w:lang w:val="en-US"/>
        </w:rPr>
        <w:t xml:space="preserve">and </w:t>
      </w:r>
      <w:r w:rsidRPr="00150687">
        <w:rPr>
          <w:lang w:val="en-US"/>
        </w:rPr>
        <w:t>€</w:t>
      </w:r>
      <w:r>
        <w:rPr>
          <w:lang w:val="en-US"/>
        </w:rPr>
        <w:t>2.3</w:t>
      </w:r>
      <w:r w:rsidRPr="00150687">
        <w:rPr>
          <w:lang w:val="en-US"/>
        </w:rPr>
        <w:t xml:space="preserve"> billion</w:t>
      </w:r>
      <w:r>
        <w:rPr>
          <w:lang w:val="en-US"/>
        </w:rPr>
        <w:t>. Previously the bottom end of the forecast range was €2.0 billion. The outlook for s</w:t>
      </w:r>
      <w:r w:rsidRPr="00C27550">
        <w:rPr>
          <w:lang w:val="en-US"/>
        </w:rPr>
        <w:t xml:space="preserve">ales </w:t>
      </w:r>
      <w:r>
        <w:rPr>
          <w:lang w:val="en-US"/>
        </w:rPr>
        <w:t>remains</w:t>
      </w:r>
      <w:r w:rsidRPr="00C27550">
        <w:rPr>
          <w:lang w:val="en-US"/>
        </w:rPr>
        <w:t xml:space="preserve"> </w:t>
      </w:r>
      <w:r>
        <w:rPr>
          <w:lang w:val="en-US"/>
        </w:rPr>
        <w:t xml:space="preserve">at </w:t>
      </w:r>
      <w:r w:rsidRPr="00C27550">
        <w:rPr>
          <w:lang w:val="en-US"/>
        </w:rPr>
        <w:t xml:space="preserve">€12 billion </w:t>
      </w:r>
      <w:r>
        <w:rPr>
          <w:lang w:val="en-US"/>
        </w:rPr>
        <w:t>to</w:t>
      </w:r>
      <w:r w:rsidRPr="00C27550">
        <w:rPr>
          <w:lang w:val="en-US"/>
        </w:rPr>
        <w:t xml:space="preserve"> €14 billion</w:t>
      </w:r>
      <w:r>
        <w:rPr>
          <w:lang w:val="en-US"/>
        </w:rPr>
        <w:t xml:space="preserve"> for the year</w:t>
      </w:r>
      <w:r w:rsidRPr="00274D95">
        <w:rPr>
          <w:lang w:val="en-US"/>
        </w:rPr>
        <w:t>.</w:t>
      </w:r>
      <w:r>
        <w:rPr>
          <w:lang w:val="en-US"/>
        </w:rPr>
        <w:t xml:space="preserve"> In 2020 Evonik posted adjusted EBITDA of €1.91 billion and sales of €12.2 billion.</w:t>
      </w:r>
    </w:p>
    <w:p w14:paraId="77F3F1DB" w14:textId="77777777" w:rsidR="008A2674" w:rsidRDefault="008A2674" w:rsidP="008A2674">
      <w:pPr>
        <w:rPr>
          <w:lang w:val="en-US"/>
        </w:rPr>
      </w:pPr>
    </w:p>
    <w:p w14:paraId="6492541F" w14:textId="77777777" w:rsidR="008A2674" w:rsidRDefault="008A2674" w:rsidP="008A2674">
      <w:pPr>
        <w:rPr>
          <w:lang w:val="en-US"/>
        </w:rPr>
      </w:pPr>
      <w:r>
        <w:rPr>
          <w:lang w:val="en-US"/>
        </w:rPr>
        <w:t xml:space="preserve">In the first quarter adjusted </w:t>
      </w:r>
      <w:r w:rsidRPr="00150687">
        <w:rPr>
          <w:lang w:val="en-US"/>
        </w:rPr>
        <w:t xml:space="preserve">EBITDA </w:t>
      </w:r>
      <w:r>
        <w:rPr>
          <w:lang w:val="en-US"/>
        </w:rPr>
        <w:t>gained 15 percent to</w:t>
      </w:r>
    </w:p>
    <w:p w14:paraId="5CB202F3" w14:textId="77777777" w:rsidR="008A2674" w:rsidRDefault="008A2674" w:rsidP="008A2674">
      <w:pPr>
        <w:rPr>
          <w:lang w:val="en-US"/>
        </w:rPr>
      </w:pPr>
      <w:r>
        <w:rPr>
          <w:lang w:val="en-US"/>
        </w:rPr>
        <w:t>€588 million compared with the same quarter in 2020. Compared with the first quarter of 2019 the gain was 9 percent.</w:t>
      </w:r>
    </w:p>
    <w:p w14:paraId="34280E60" w14:textId="77777777" w:rsidR="008A2674" w:rsidRDefault="008A2674" w:rsidP="008A2674">
      <w:pPr>
        <w:rPr>
          <w:lang w:val="en-US"/>
        </w:rPr>
      </w:pPr>
    </w:p>
    <w:p w14:paraId="7FBC5A81" w14:textId="77777777" w:rsidR="008A2674" w:rsidRDefault="008A2674" w:rsidP="008A2674">
      <w:pPr>
        <w:rPr>
          <w:lang w:val="en-US"/>
        </w:rPr>
      </w:pPr>
      <w:r>
        <w:rPr>
          <w:lang w:val="en-US"/>
        </w:rPr>
        <w:t>Sales rose 4 percent to €3.36 billion in the first three months compared with the first quarter in the previous year. Adjusted n</w:t>
      </w:r>
      <w:r w:rsidRPr="00150687">
        <w:rPr>
          <w:lang w:val="en-US"/>
        </w:rPr>
        <w:t xml:space="preserve">et income </w:t>
      </w:r>
      <w:r>
        <w:rPr>
          <w:lang w:val="en-US"/>
        </w:rPr>
        <w:t>increased 32 percent to €239 million.</w:t>
      </w:r>
    </w:p>
    <w:p w14:paraId="77E8FAB3" w14:textId="77777777" w:rsidR="008A2674" w:rsidRDefault="008A2674" w:rsidP="008A2674">
      <w:pPr>
        <w:rPr>
          <w:lang w:val="en-US"/>
        </w:rPr>
      </w:pPr>
    </w:p>
    <w:p w14:paraId="3FE69E56" w14:textId="77777777" w:rsidR="008A2674" w:rsidRDefault="008A2674" w:rsidP="008A2674">
      <w:pPr>
        <w:rPr>
          <w:lang w:val="en-US"/>
        </w:rPr>
      </w:pPr>
      <w:r>
        <w:rPr>
          <w:lang w:val="en-US"/>
        </w:rPr>
        <w:t>F</w:t>
      </w:r>
      <w:r w:rsidRPr="00C27550">
        <w:rPr>
          <w:lang w:val="en-US"/>
        </w:rPr>
        <w:t>ree cash flow</w:t>
      </w:r>
      <w:r>
        <w:rPr>
          <w:lang w:val="en-US"/>
        </w:rPr>
        <w:t xml:space="preserve"> almost tripled in the quarter </w:t>
      </w:r>
      <w:r w:rsidRPr="00C27550">
        <w:rPr>
          <w:lang w:val="en-US"/>
        </w:rPr>
        <w:t>to €</w:t>
      </w:r>
      <w:r>
        <w:rPr>
          <w:lang w:val="en-US"/>
        </w:rPr>
        <w:t>312</w:t>
      </w:r>
      <w:r w:rsidRPr="00C27550">
        <w:rPr>
          <w:lang w:val="en-US"/>
        </w:rPr>
        <w:t xml:space="preserve"> million</w:t>
      </w:r>
      <w:r>
        <w:rPr>
          <w:lang w:val="en-US"/>
        </w:rPr>
        <w:t xml:space="preserve">, boosted by the improved business performance, strict </w:t>
      </w:r>
      <w:r>
        <w:rPr>
          <w:lang w:val="en-US"/>
        </w:rPr>
        <w:lastRenderedPageBreak/>
        <w:t>management of net working capital and lower tax payments</w:t>
      </w:r>
      <w:r w:rsidRPr="00C27550">
        <w:rPr>
          <w:lang w:val="en-US"/>
        </w:rPr>
        <w:t xml:space="preserve">. </w:t>
      </w:r>
      <w:r>
        <w:rPr>
          <w:lang w:val="en-US"/>
        </w:rPr>
        <w:t>Free cash flow was also higher than the pre-pandemic level of</w:t>
      </w:r>
      <w:bookmarkStart w:id="0" w:name="_GoBack"/>
      <w:bookmarkEnd w:id="0"/>
    </w:p>
    <w:p w14:paraId="0D552615" w14:textId="77777777" w:rsidR="008A2674" w:rsidRDefault="008A2674" w:rsidP="008A2674">
      <w:pPr>
        <w:rPr>
          <w:lang w:val="en-US"/>
        </w:rPr>
      </w:pPr>
      <w:r>
        <w:rPr>
          <w:lang w:val="en-US"/>
        </w:rPr>
        <w:t xml:space="preserve">€159 million in the first quarter of 2019. </w:t>
      </w:r>
    </w:p>
    <w:p w14:paraId="16A2A921" w14:textId="77777777" w:rsidR="008A2674" w:rsidRPr="000C3FD0" w:rsidRDefault="008A2674" w:rsidP="008A2674">
      <w:pPr>
        <w:rPr>
          <w:lang w:val="en-US"/>
        </w:rPr>
      </w:pPr>
    </w:p>
    <w:p w14:paraId="793F24FC" w14:textId="77777777" w:rsidR="008A2674" w:rsidRPr="00150687" w:rsidRDefault="008A2674" w:rsidP="008A2674">
      <w:pPr>
        <w:rPr>
          <w:lang w:val="en-US"/>
        </w:rPr>
      </w:pPr>
      <w:r w:rsidRPr="00150687">
        <w:rPr>
          <w:lang w:val="en-US"/>
        </w:rPr>
        <w:t>"</w:t>
      </w:r>
      <w:r>
        <w:rPr>
          <w:lang w:val="en-US"/>
        </w:rPr>
        <w:t>We posted the strongest first-quarter free cash flow since our stock market listing in 2013</w:t>
      </w:r>
      <w:r w:rsidRPr="00150687">
        <w:rPr>
          <w:lang w:val="en-US"/>
        </w:rPr>
        <w:t>," sa</w:t>
      </w:r>
      <w:r>
        <w:rPr>
          <w:lang w:val="en-US"/>
        </w:rPr>
        <w:t>id</w:t>
      </w:r>
      <w:r w:rsidRPr="00150687">
        <w:rPr>
          <w:lang w:val="en-US"/>
        </w:rPr>
        <w:t xml:space="preserve"> Ute Wolf</w:t>
      </w:r>
      <w:r>
        <w:rPr>
          <w:lang w:val="en-US"/>
        </w:rPr>
        <w:t>, chief financial officer</w:t>
      </w:r>
      <w:r w:rsidRPr="00150687">
        <w:rPr>
          <w:lang w:val="en-US"/>
        </w:rPr>
        <w:t>. "</w:t>
      </w:r>
      <w:r>
        <w:rPr>
          <w:lang w:val="en-US"/>
        </w:rPr>
        <w:t>Our clear focus on growth in free cash flow is paying off</w:t>
      </w:r>
      <w:r w:rsidRPr="00150687">
        <w:rPr>
          <w:lang w:val="en-US"/>
        </w:rPr>
        <w:t>."</w:t>
      </w:r>
    </w:p>
    <w:p w14:paraId="067ADB20" w14:textId="77777777" w:rsidR="008A2674" w:rsidRPr="00DD5429" w:rsidRDefault="008A2674" w:rsidP="008A2674">
      <w:pPr>
        <w:rPr>
          <w:lang w:val="en-US"/>
        </w:rPr>
      </w:pPr>
    </w:p>
    <w:p w14:paraId="32350C9A" w14:textId="77777777" w:rsidR="008A2674" w:rsidRDefault="008A2674" w:rsidP="008A2674">
      <w:pPr>
        <w:rPr>
          <w:b/>
          <w:bCs/>
          <w:lang w:val="en-US"/>
        </w:rPr>
      </w:pPr>
      <w:r w:rsidRPr="00F93DD8">
        <w:rPr>
          <w:b/>
          <w:bCs/>
          <w:lang w:val="en-US"/>
        </w:rPr>
        <w:t>Development of the divisions</w:t>
      </w:r>
      <w:r>
        <w:rPr>
          <w:b/>
          <w:bCs/>
          <w:lang w:val="en-US"/>
        </w:rPr>
        <w:t xml:space="preserve"> </w:t>
      </w:r>
    </w:p>
    <w:p w14:paraId="38314FB4" w14:textId="77777777" w:rsidR="008A2674" w:rsidRPr="00DD5429" w:rsidRDefault="008A2674" w:rsidP="008A2674">
      <w:pPr>
        <w:rPr>
          <w:lang w:val="en-US"/>
        </w:rPr>
      </w:pPr>
    </w:p>
    <w:p w14:paraId="56CB8B79" w14:textId="77777777" w:rsidR="008A2674" w:rsidRDefault="008A2674" w:rsidP="008A2674">
      <w:pPr>
        <w:rPr>
          <w:lang w:val="en-US"/>
        </w:rPr>
      </w:pPr>
      <w:r w:rsidRPr="00F93DD8">
        <w:rPr>
          <w:b/>
          <w:bCs/>
          <w:lang w:val="en-US"/>
        </w:rPr>
        <w:t>Specialty Additives</w:t>
      </w:r>
      <w:r w:rsidRPr="00DD5429">
        <w:rPr>
          <w:lang w:val="en-US"/>
        </w:rPr>
        <w:t xml:space="preserve">: </w:t>
      </w:r>
      <w:r w:rsidRPr="00DF2F97">
        <w:rPr>
          <w:lang w:val="en-US"/>
        </w:rPr>
        <w:t>The division's sales rose 6 percent to</w:t>
      </w:r>
    </w:p>
    <w:p w14:paraId="59B28E0D" w14:textId="77777777" w:rsidR="008A2674" w:rsidRDefault="008A2674" w:rsidP="008A2674">
      <w:pPr>
        <w:rPr>
          <w:lang w:val="en-US"/>
        </w:rPr>
      </w:pPr>
      <w:r w:rsidRPr="00DF2F97">
        <w:rPr>
          <w:lang w:val="en-US"/>
        </w:rPr>
        <w:t>€907 million in the first quarter. Additives for the coatings industry were in much greater demand in all regions</w:t>
      </w:r>
      <w:r>
        <w:rPr>
          <w:lang w:val="en-US"/>
        </w:rPr>
        <w:t xml:space="preserve"> with</w:t>
      </w:r>
      <w:r w:rsidRPr="00DF2F97">
        <w:rPr>
          <w:lang w:val="en-US"/>
        </w:rPr>
        <w:t xml:space="preserve"> sales in this area gr</w:t>
      </w:r>
      <w:r>
        <w:rPr>
          <w:lang w:val="en-US"/>
        </w:rPr>
        <w:t>owing</w:t>
      </w:r>
      <w:r w:rsidRPr="00DF2F97">
        <w:rPr>
          <w:lang w:val="en-US"/>
        </w:rPr>
        <w:t xml:space="preserve"> </w:t>
      </w:r>
      <w:r>
        <w:rPr>
          <w:lang w:val="en-US"/>
        </w:rPr>
        <w:t>considerably</w:t>
      </w:r>
      <w:r w:rsidRPr="00DF2F97">
        <w:rPr>
          <w:lang w:val="en-US"/>
        </w:rPr>
        <w:t xml:space="preserve">. </w:t>
      </w:r>
      <w:r>
        <w:rPr>
          <w:lang w:val="en-US"/>
        </w:rPr>
        <w:t xml:space="preserve">An </w:t>
      </w:r>
      <w:r w:rsidRPr="00DF2F97">
        <w:rPr>
          <w:lang w:val="en-US"/>
        </w:rPr>
        <w:t>increase in demand for durable goods</w:t>
      </w:r>
      <w:r>
        <w:rPr>
          <w:lang w:val="en-US"/>
        </w:rPr>
        <w:t xml:space="preserve"> boosted sales of a</w:t>
      </w:r>
      <w:r w:rsidRPr="00DF2F97">
        <w:rPr>
          <w:lang w:val="en-US"/>
        </w:rPr>
        <w:t>dditives for polyurethane foams</w:t>
      </w:r>
      <w:r>
        <w:rPr>
          <w:lang w:val="en-US"/>
        </w:rPr>
        <w:t xml:space="preserve"> for</w:t>
      </w:r>
      <w:r w:rsidRPr="00DF2F97">
        <w:rPr>
          <w:lang w:val="en-US"/>
        </w:rPr>
        <w:t xml:space="preserve"> </w:t>
      </w:r>
      <w:r>
        <w:rPr>
          <w:lang w:val="en-US"/>
        </w:rPr>
        <w:t xml:space="preserve">products such as </w:t>
      </w:r>
      <w:r w:rsidRPr="00DF2F97">
        <w:rPr>
          <w:lang w:val="en-US"/>
        </w:rPr>
        <w:t>mattresses or refrigerators</w:t>
      </w:r>
      <w:r>
        <w:rPr>
          <w:lang w:val="en-US"/>
        </w:rPr>
        <w:t>.</w:t>
      </w:r>
      <w:r w:rsidRPr="00DF2F97">
        <w:rPr>
          <w:lang w:val="en-US"/>
        </w:rPr>
        <w:t xml:space="preserve"> Demand for additives </w:t>
      </w:r>
      <w:r>
        <w:rPr>
          <w:lang w:val="en-US"/>
        </w:rPr>
        <w:t>for the</w:t>
      </w:r>
      <w:r w:rsidRPr="00DF2F97">
        <w:rPr>
          <w:lang w:val="en-US"/>
        </w:rPr>
        <w:t xml:space="preserve"> construction </w:t>
      </w:r>
      <w:r>
        <w:rPr>
          <w:lang w:val="en-US"/>
        </w:rPr>
        <w:t xml:space="preserve">industry </w:t>
      </w:r>
      <w:r w:rsidRPr="00DF2F97">
        <w:rPr>
          <w:lang w:val="en-US"/>
        </w:rPr>
        <w:t>remain</w:t>
      </w:r>
      <w:r>
        <w:rPr>
          <w:lang w:val="en-US"/>
        </w:rPr>
        <w:t>ed</w:t>
      </w:r>
      <w:r w:rsidRPr="00DF2F97">
        <w:rPr>
          <w:lang w:val="en-US"/>
        </w:rPr>
        <w:t xml:space="preserve"> robust. Renewable energy products </w:t>
      </w:r>
      <w:r>
        <w:rPr>
          <w:lang w:val="en-US"/>
        </w:rPr>
        <w:t xml:space="preserve">saw significantly </w:t>
      </w:r>
      <w:r w:rsidRPr="00DF2F97">
        <w:rPr>
          <w:lang w:val="en-US"/>
        </w:rPr>
        <w:t>more demand, especially in Asia. Adjusted EBITDA increased by 14 percent to €273 million.</w:t>
      </w:r>
    </w:p>
    <w:p w14:paraId="3200748C" w14:textId="77777777" w:rsidR="008A2674" w:rsidRDefault="008A2674" w:rsidP="008A2674">
      <w:pPr>
        <w:rPr>
          <w:lang w:val="en-US"/>
        </w:rPr>
      </w:pPr>
    </w:p>
    <w:p w14:paraId="5683E0F2" w14:textId="77777777" w:rsidR="008A2674" w:rsidRDefault="008A2674" w:rsidP="008A2674">
      <w:r w:rsidRPr="00F93DD8">
        <w:rPr>
          <w:b/>
          <w:bCs/>
          <w:lang w:val="en-US"/>
        </w:rPr>
        <w:t>Nutrition &amp; Care</w:t>
      </w:r>
      <w:r w:rsidRPr="00DD5429">
        <w:rPr>
          <w:lang w:val="en-US"/>
        </w:rPr>
        <w:t xml:space="preserve">: </w:t>
      </w:r>
      <w:r w:rsidRPr="0035592B">
        <w:t>Sales at Nutrition &amp; Care rose 4 percent to</w:t>
      </w:r>
    </w:p>
    <w:p w14:paraId="1C5985B3" w14:textId="77777777" w:rsidR="008A2674" w:rsidRDefault="008A2674" w:rsidP="008A2674">
      <w:r w:rsidRPr="0035592B">
        <w:t xml:space="preserve">€780 million in the first quarter. </w:t>
      </w:r>
      <w:r>
        <w:t xml:space="preserve">Sales of </w:t>
      </w:r>
      <w:r w:rsidRPr="0035592B">
        <w:t xml:space="preserve">essential amino acids </w:t>
      </w:r>
      <w:r>
        <w:t>remained</w:t>
      </w:r>
      <w:r w:rsidRPr="0035592B">
        <w:t xml:space="preserve"> stable. </w:t>
      </w:r>
      <w:r>
        <w:t>P</w:t>
      </w:r>
      <w:r w:rsidRPr="0035592B">
        <w:t xml:space="preserve">roducts for the health and care sector benefited from good demand. </w:t>
      </w:r>
      <w:proofErr w:type="gramStart"/>
      <w:r w:rsidRPr="0035592B">
        <w:t>In particular, active</w:t>
      </w:r>
      <w:proofErr w:type="gramEnd"/>
      <w:r w:rsidRPr="0035592B">
        <w:t xml:space="preserve"> ingredients for cosmetic applications showed a continued positive development. Adjusted EBITDA improved by 21 percent to €143 million thanks to higher s</w:t>
      </w:r>
      <w:r>
        <w:t>elling</w:t>
      </w:r>
      <w:r w:rsidRPr="0035592B">
        <w:t xml:space="preserve"> prices and active cost management.</w:t>
      </w:r>
    </w:p>
    <w:p w14:paraId="316AD914" w14:textId="77777777" w:rsidR="008A2674" w:rsidRDefault="008A2674" w:rsidP="008A2674"/>
    <w:p w14:paraId="6B169ED1" w14:textId="77777777" w:rsidR="008A2674" w:rsidRDefault="008A2674" w:rsidP="008A2674">
      <w:r w:rsidRPr="00F93DD8">
        <w:rPr>
          <w:b/>
          <w:bCs/>
          <w:lang w:val="en-US"/>
        </w:rPr>
        <w:t>Smart Materials</w:t>
      </w:r>
      <w:r w:rsidRPr="00DD5429">
        <w:rPr>
          <w:lang w:val="en-US"/>
        </w:rPr>
        <w:t xml:space="preserve">: </w:t>
      </w:r>
      <w:r w:rsidRPr="005A0CB7">
        <w:t xml:space="preserve">The division's sales improved by 6 percent to €909 million in the first quarter. </w:t>
      </w:r>
      <w:bookmarkStart w:id="1" w:name="_Hlk71035902"/>
      <w:r>
        <w:t>In the area of</w:t>
      </w:r>
      <w:r w:rsidRPr="005A0CB7">
        <w:t xml:space="preserve"> inorganic products</w:t>
      </w:r>
      <w:r>
        <w:t>,</w:t>
      </w:r>
      <w:r w:rsidRPr="005A0CB7">
        <w:t xml:space="preserve"> the t</w:t>
      </w:r>
      <w:r>
        <w:t>i</w:t>
      </w:r>
      <w:r w:rsidRPr="005A0CB7">
        <w:t>re silica business benefited</w:t>
      </w:r>
      <w:bookmarkEnd w:id="1"/>
      <w:r w:rsidRPr="005A0CB7">
        <w:t xml:space="preserve"> from a global economic upturn. Demand for products from the hygiene and care sectors as well as for environmental applications remained robust. The cataly</w:t>
      </w:r>
      <w:r>
        <w:t>st</w:t>
      </w:r>
    </w:p>
    <w:p w14:paraId="5DD7ADDD" w14:textId="77777777" w:rsidR="008A2674" w:rsidRDefault="008A2674" w:rsidP="008A2674">
      <w:r w:rsidRPr="005A0CB7">
        <w:t xml:space="preserve">business benefited from the inclusion of </w:t>
      </w:r>
      <w:proofErr w:type="spellStart"/>
      <w:r w:rsidRPr="005A0CB7">
        <w:t>Porocel</w:t>
      </w:r>
      <w:proofErr w:type="spellEnd"/>
      <w:r w:rsidRPr="005A0CB7">
        <w:t xml:space="preserve">, which was acquired in November 2020. High-performance </w:t>
      </w:r>
      <w:r>
        <w:t>polymers</w:t>
      </w:r>
      <w:r w:rsidRPr="005A0CB7">
        <w:t xml:space="preserve"> </w:t>
      </w:r>
      <w:r>
        <w:t>saw</w:t>
      </w:r>
      <w:r w:rsidRPr="005A0CB7">
        <w:t xml:space="preserve"> good demand from the automotive industry</w:t>
      </w:r>
      <w:r>
        <w:t>. S</w:t>
      </w:r>
      <w:r w:rsidRPr="005A0CB7">
        <w:t>ales of polyamide 12 powder also increased. Adjusted EBITDA rose 4 percent to €173 million</w:t>
      </w:r>
      <w:r>
        <w:t xml:space="preserve"> at the division</w:t>
      </w:r>
      <w:r w:rsidRPr="005A0CB7">
        <w:t>.</w:t>
      </w:r>
    </w:p>
    <w:p w14:paraId="3635CD87" w14:textId="77777777" w:rsidR="008A2674" w:rsidRDefault="008A2674" w:rsidP="008A2674"/>
    <w:p w14:paraId="491A9081" w14:textId="77777777" w:rsidR="008A2674" w:rsidRDefault="008A2674" w:rsidP="008A2674">
      <w:pPr>
        <w:rPr>
          <w:rFonts w:ascii="Trebuchet MS" w:hAnsi="Trebuchet MS"/>
          <w:sz w:val="20"/>
          <w:szCs w:val="20"/>
        </w:rPr>
      </w:pPr>
      <w:r w:rsidRPr="00F93DD8">
        <w:rPr>
          <w:b/>
          <w:bCs/>
          <w:lang w:val="en-US"/>
        </w:rPr>
        <w:lastRenderedPageBreak/>
        <w:t>Performance Materials</w:t>
      </w:r>
      <w:r w:rsidRPr="00DD5429">
        <w:rPr>
          <w:lang w:val="en-US"/>
        </w:rPr>
        <w:t xml:space="preserve">: </w:t>
      </w:r>
      <w:r w:rsidRPr="005A0CB7">
        <w:t xml:space="preserve">The division's sales fell by 1 percent to €580 million in the first quarter. Sales of C4 products </w:t>
      </w:r>
      <w:r>
        <w:t>rose</w:t>
      </w:r>
      <w:r w:rsidRPr="005A0CB7">
        <w:t xml:space="preserve"> as demand increased and s</w:t>
      </w:r>
      <w:r>
        <w:t>elling</w:t>
      </w:r>
      <w:r w:rsidRPr="005A0CB7">
        <w:t xml:space="preserve"> prices </w:t>
      </w:r>
      <w:r>
        <w:t>climbed</w:t>
      </w:r>
      <w:r w:rsidRPr="005A0CB7">
        <w:t xml:space="preserve">. The business development of the </w:t>
      </w:r>
      <w:proofErr w:type="spellStart"/>
      <w:r w:rsidRPr="005A0CB7">
        <w:t>superabsorbents</w:t>
      </w:r>
      <w:proofErr w:type="spellEnd"/>
      <w:r w:rsidRPr="005A0CB7">
        <w:t xml:space="preserve"> was affected by lower production output as a result of severe weather. Adjusted EBITDA rose from €18 million to €42 million.</w:t>
      </w:r>
    </w:p>
    <w:p w14:paraId="1B268440" w14:textId="77777777" w:rsidR="008A2674" w:rsidRDefault="008A2674" w:rsidP="008A2674">
      <w:pPr>
        <w:pStyle w:val="StandardWeb"/>
        <w:spacing w:after="240" w:line="372" w:lineRule="atLeast"/>
        <w:rPr>
          <w:rFonts w:ascii="Trebuchet MS" w:hAnsi="Trebuchet MS"/>
          <w:sz w:val="20"/>
          <w:szCs w:val="20"/>
        </w:rPr>
      </w:pPr>
    </w:p>
    <w:p w14:paraId="2FAC477E" w14:textId="77777777" w:rsidR="008A2674" w:rsidRDefault="008A2674" w:rsidP="008A2674">
      <w:pPr>
        <w:pStyle w:val="StandardWeb"/>
        <w:spacing w:after="240" w:line="372" w:lineRule="atLeast"/>
        <w:rPr>
          <w:rFonts w:ascii="Trebuchet MS" w:hAnsi="Trebuchet MS"/>
          <w:sz w:val="20"/>
          <w:szCs w:val="20"/>
        </w:rPr>
      </w:pPr>
    </w:p>
    <w:p w14:paraId="7F3F881C" w14:textId="77777777" w:rsidR="008A2674" w:rsidRDefault="008A2674" w:rsidP="008A2674">
      <w:pPr>
        <w:spacing w:line="220" w:lineRule="exact"/>
        <w:outlineLvl w:val="0"/>
        <w:rPr>
          <w:b/>
          <w:bCs/>
          <w:color w:val="000000"/>
          <w:sz w:val="18"/>
          <w:szCs w:val="18"/>
        </w:rPr>
      </w:pPr>
    </w:p>
    <w:p w14:paraId="4355841F" w14:textId="77777777" w:rsidR="008A2674" w:rsidRDefault="008A2674" w:rsidP="008A2674">
      <w:pPr>
        <w:spacing w:line="220" w:lineRule="exact"/>
        <w:outlineLvl w:val="0"/>
        <w:rPr>
          <w:b/>
          <w:bCs/>
          <w:color w:val="000000"/>
          <w:sz w:val="18"/>
          <w:szCs w:val="18"/>
        </w:rPr>
      </w:pPr>
    </w:p>
    <w:p w14:paraId="42BA6D1B" w14:textId="77777777" w:rsidR="008A2674" w:rsidRDefault="008A2674" w:rsidP="008A2674">
      <w:pPr>
        <w:spacing w:line="220" w:lineRule="exact"/>
        <w:outlineLvl w:val="0"/>
        <w:rPr>
          <w:b/>
          <w:bCs/>
          <w:color w:val="000000"/>
          <w:sz w:val="18"/>
          <w:szCs w:val="18"/>
        </w:rPr>
      </w:pPr>
    </w:p>
    <w:p w14:paraId="04F88878" w14:textId="77777777" w:rsidR="008A2674" w:rsidRDefault="008A2674" w:rsidP="008A2674">
      <w:pPr>
        <w:spacing w:line="220" w:lineRule="exact"/>
        <w:outlineLvl w:val="0"/>
        <w:rPr>
          <w:b/>
          <w:bCs/>
          <w:color w:val="000000"/>
          <w:sz w:val="18"/>
          <w:szCs w:val="18"/>
        </w:rPr>
      </w:pPr>
    </w:p>
    <w:p w14:paraId="4D980709" w14:textId="77777777" w:rsidR="008A2674" w:rsidRDefault="008A2674" w:rsidP="008A2674">
      <w:pPr>
        <w:spacing w:line="220" w:lineRule="exact"/>
        <w:outlineLvl w:val="0"/>
        <w:rPr>
          <w:b/>
          <w:bCs/>
          <w:color w:val="000000"/>
          <w:sz w:val="18"/>
          <w:szCs w:val="18"/>
        </w:rPr>
      </w:pPr>
    </w:p>
    <w:p w14:paraId="5C52BAE3" w14:textId="77777777" w:rsidR="008A2674" w:rsidRDefault="008A2674" w:rsidP="008A2674">
      <w:pPr>
        <w:spacing w:line="220" w:lineRule="exact"/>
        <w:outlineLvl w:val="0"/>
        <w:rPr>
          <w:b/>
          <w:bCs/>
          <w:color w:val="000000"/>
          <w:sz w:val="18"/>
          <w:szCs w:val="18"/>
        </w:rPr>
      </w:pPr>
    </w:p>
    <w:p w14:paraId="6CD86F67" w14:textId="77777777" w:rsidR="008A2674" w:rsidRDefault="008A2674" w:rsidP="008A2674">
      <w:pPr>
        <w:spacing w:line="220" w:lineRule="exact"/>
        <w:outlineLvl w:val="0"/>
        <w:rPr>
          <w:b/>
          <w:bCs/>
          <w:color w:val="000000"/>
          <w:sz w:val="18"/>
          <w:szCs w:val="18"/>
        </w:rPr>
      </w:pPr>
    </w:p>
    <w:p w14:paraId="4636B38F" w14:textId="77777777" w:rsidR="008A2674" w:rsidRDefault="008A2674" w:rsidP="008A2674">
      <w:pPr>
        <w:spacing w:line="220" w:lineRule="exact"/>
        <w:outlineLvl w:val="0"/>
        <w:rPr>
          <w:b/>
          <w:bCs/>
          <w:color w:val="000000"/>
          <w:sz w:val="18"/>
          <w:szCs w:val="18"/>
        </w:rPr>
      </w:pPr>
    </w:p>
    <w:p w14:paraId="3B935994" w14:textId="77777777" w:rsidR="008A2674" w:rsidRDefault="008A2674" w:rsidP="008A2674">
      <w:pPr>
        <w:spacing w:line="220" w:lineRule="exact"/>
        <w:outlineLvl w:val="0"/>
        <w:rPr>
          <w:b/>
          <w:bCs/>
          <w:color w:val="000000"/>
          <w:sz w:val="18"/>
          <w:szCs w:val="18"/>
        </w:rPr>
      </w:pPr>
    </w:p>
    <w:p w14:paraId="1EE05A6F" w14:textId="77777777" w:rsidR="008A2674" w:rsidRDefault="008A2674" w:rsidP="008A2674">
      <w:pPr>
        <w:spacing w:line="220" w:lineRule="exact"/>
        <w:outlineLvl w:val="0"/>
        <w:rPr>
          <w:b/>
          <w:bCs/>
          <w:color w:val="000000"/>
          <w:sz w:val="18"/>
          <w:szCs w:val="18"/>
        </w:rPr>
      </w:pPr>
    </w:p>
    <w:p w14:paraId="1FFA1BBC" w14:textId="77777777" w:rsidR="008A2674" w:rsidRDefault="008A2674" w:rsidP="008A2674">
      <w:pPr>
        <w:spacing w:line="220" w:lineRule="exact"/>
        <w:outlineLvl w:val="0"/>
        <w:rPr>
          <w:b/>
          <w:bCs/>
          <w:color w:val="000000"/>
          <w:sz w:val="18"/>
          <w:szCs w:val="18"/>
        </w:rPr>
      </w:pPr>
    </w:p>
    <w:p w14:paraId="5906B2BE" w14:textId="77777777" w:rsidR="008A2674" w:rsidRDefault="008A2674" w:rsidP="008A2674">
      <w:pPr>
        <w:spacing w:line="220" w:lineRule="exact"/>
        <w:outlineLvl w:val="0"/>
        <w:rPr>
          <w:b/>
          <w:bCs/>
          <w:color w:val="000000"/>
          <w:sz w:val="18"/>
          <w:szCs w:val="18"/>
        </w:rPr>
      </w:pPr>
    </w:p>
    <w:p w14:paraId="71040CBF" w14:textId="77777777" w:rsidR="008A2674" w:rsidRDefault="008A2674" w:rsidP="008A2674">
      <w:pPr>
        <w:spacing w:line="220" w:lineRule="exact"/>
        <w:outlineLvl w:val="0"/>
        <w:rPr>
          <w:b/>
          <w:bCs/>
          <w:color w:val="000000"/>
          <w:sz w:val="18"/>
          <w:szCs w:val="18"/>
        </w:rPr>
      </w:pPr>
    </w:p>
    <w:p w14:paraId="4369E08A" w14:textId="77777777" w:rsidR="008A2674" w:rsidRDefault="008A2674" w:rsidP="008A2674">
      <w:pPr>
        <w:spacing w:line="220" w:lineRule="exact"/>
        <w:outlineLvl w:val="0"/>
        <w:rPr>
          <w:b/>
          <w:bCs/>
          <w:color w:val="000000"/>
          <w:sz w:val="18"/>
          <w:szCs w:val="18"/>
        </w:rPr>
      </w:pPr>
    </w:p>
    <w:p w14:paraId="4FD7F05D" w14:textId="77777777" w:rsidR="008A2674" w:rsidRDefault="008A2674" w:rsidP="008A2674">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2A2CFEA5" w14:textId="77777777" w:rsidR="008A2674" w:rsidRDefault="008A2674" w:rsidP="008A2674">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2.2</w:t>
      </w:r>
      <w:r w:rsidRPr="009A7CFD">
        <w:rPr>
          <w:sz w:val="18"/>
          <w:szCs w:val="18"/>
        </w:rPr>
        <w:t xml:space="preserve"> billion and an operating profit (adjusted EBITDA) of €</w:t>
      </w:r>
      <w:r>
        <w:rPr>
          <w:sz w:val="18"/>
          <w:szCs w:val="18"/>
        </w:rPr>
        <w:t>1.91</w:t>
      </w:r>
      <w:r w:rsidRPr="009A7CFD">
        <w:rPr>
          <w:sz w:val="18"/>
          <w:szCs w:val="18"/>
        </w:rPr>
        <w:t xml:space="preserve"> billion in 20</w:t>
      </w:r>
      <w:r>
        <w:rPr>
          <w:sz w:val="18"/>
          <w:szCs w:val="18"/>
        </w:rPr>
        <w:t>20</w:t>
      </w:r>
      <w:r w:rsidRPr="009A7CFD">
        <w:rPr>
          <w:sz w:val="18"/>
          <w:szCs w:val="18"/>
        </w:rPr>
        <w:t xml:space="preserve">. Evonik goes far beyond chemistry to create innovative, profitable and sustainable solutions for customers. </w:t>
      </w:r>
      <w:r w:rsidRPr="003C7EB2">
        <w:rPr>
          <w:sz w:val="18"/>
          <w:szCs w:val="18"/>
        </w:rPr>
        <w:t>About 33,000 employees</w:t>
      </w:r>
      <w:r w:rsidRPr="009A7CFD">
        <w:rPr>
          <w:sz w:val="18"/>
          <w:szCs w:val="18"/>
        </w:rPr>
        <w:t xml:space="preserve"> work together for a common purpose: We want to improve life </w:t>
      </w:r>
      <w:r>
        <w:rPr>
          <w:sz w:val="18"/>
          <w:szCs w:val="18"/>
        </w:rPr>
        <w:t>today and tomorrow</w:t>
      </w:r>
      <w:r w:rsidRPr="009A7CFD">
        <w:rPr>
          <w:sz w:val="18"/>
          <w:szCs w:val="18"/>
        </w:rPr>
        <w:t>.</w:t>
      </w:r>
    </w:p>
    <w:p w14:paraId="1B31D822" w14:textId="77777777" w:rsidR="008A2674" w:rsidRDefault="008A2674" w:rsidP="008A2674">
      <w:pPr>
        <w:spacing w:line="220" w:lineRule="exact"/>
        <w:rPr>
          <w:sz w:val="18"/>
          <w:szCs w:val="18"/>
        </w:rPr>
      </w:pPr>
    </w:p>
    <w:p w14:paraId="623D622C" w14:textId="77777777" w:rsidR="008A2674" w:rsidRDefault="008A2674" w:rsidP="008A2674">
      <w:pPr>
        <w:spacing w:line="220" w:lineRule="exact"/>
        <w:outlineLvl w:val="0"/>
        <w:rPr>
          <w:b/>
          <w:bCs/>
          <w:color w:val="000000"/>
          <w:sz w:val="18"/>
          <w:szCs w:val="18"/>
        </w:rPr>
      </w:pPr>
    </w:p>
    <w:p w14:paraId="67EC194F" w14:textId="77777777" w:rsidR="008A2674" w:rsidRDefault="008A2674" w:rsidP="008A2674">
      <w:pPr>
        <w:spacing w:line="220" w:lineRule="exact"/>
        <w:outlineLvl w:val="0"/>
        <w:rPr>
          <w:rFonts w:cs="Lucida Sans Unicode"/>
          <w:b/>
          <w:bCs/>
          <w:color w:val="000000"/>
          <w:sz w:val="18"/>
          <w:szCs w:val="18"/>
        </w:rPr>
      </w:pPr>
      <w:r>
        <w:rPr>
          <w:b/>
          <w:bCs/>
          <w:color w:val="000000"/>
          <w:sz w:val="18"/>
          <w:szCs w:val="18"/>
        </w:rPr>
        <w:t>Disclaimer</w:t>
      </w:r>
    </w:p>
    <w:p w14:paraId="6793D80B" w14:textId="3FD0BF17" w:rsidR="008A2674" w:rsidRPr="00A525CB" w:rsidRDefault="008A2674" w:rsidP="008A2674">
      <w:pPr>
        <w:spacing w:line="220" w:lineRule="exact"/>
        <w:rPr>
          <w:rFonts w:cs="Lucida Sans Unicode"/>
          <w:sz w:val="18"/>
          <w:szCs w:val="18"/>
        </w:rPr>
      </w:pPr>
      <w:r>
        <w:rPr>
          <w:sz w:val="18"/>
          <w:szCs w:val="18"/>
        </w:rPr>
        <w:t xml:space="preserve">In so far as forecasts or expectations are expressed in this </w:t>
      </w:r>
      <w:r w:rsidR="006643FE">
        <w:rPr>
          <w:sz w:val="18"/>
          <w:szCs w:val="18"/>
        </w:rPr>
        <w:t>IR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2A495BED" w:rsidR="00BC5817" w:rsidRDefault="00BC5817">
      <w:pPr>
        <w:spacing w:line="240" w:lineRule="auto"/>
        <w:rPr>
          <w:rFonts w:cs="Lucida Sans Unicode"/>
          <w:sz w:val="18"/>
          <w:szCs w:val="18"/>
        </w:rPr>
      </w:pPr>
      <w:r>
        <w:rPr>
          <w:rFonts w:cs="Lucida Sans Unicode"/>
          <w:sz w:val="18"/>
          <w:szCs w:val="18"/>
        </w:rPr>
        <w:br w:type="page"/>
      </w:r>
    </w:p>
    <w:tbl>
      <w:tblPr>
        <w:tblW w:w="9753" w:type="dxa"/>
        <w:tblLayout w:type="fixed"/>
        <w:tblCellMar>
          <w:left w:w="0" w:type="dxa"/>
          <w:right w:w="0" w:type="dxa"/>
        </w:tblCellMar>
        <w:tblLook w:val="0000" w:firstRow="0" w:lastRow="0" w:firstColumn="0" w:lastColumn="0" w:noHBand="0" w:noVBand="0"/>
        <w:tblDescription w:val="SNEID_d01d09a79bef44ffa2bd198055d4873f"/>
      </w:tblPr>
      <w:tblGrid>
        <w:gridCol w:w="6333"/>
        <w:gridCol w:w="119"/>
        <w:gridCol w:w="1021"/>
        <w:gridCol w:w="119"/>
        <w:gridCol w:w="1021"/>
        <w:gridCol w:w="119"/>
        <w:gridCol w:w="1021"/>
      </w:tblGrid>
      <w:tr w:rsidR="00BC5817" w:rsidRPr="00892BA8" w14:paraId="1CDCBF8B" w14:textId="77777777" w:rsidTr="00D300B1">
        <w:tc>
          <w:tcPr>
            <w:tcW w:w="9753" w:type="dxa"/>
            <w:gridSpan w:val="7"/>
            <w:vAlign w:val="bottom"/>
          </w:tcPr>
          <w:p w14:paraId="68443CC8" w14:textId="77777777" w:rsidR="00BC5817" w:rsidRDefault="00BC5817" w:rsidP="00D300B1">
            <w:pPr>
              <w:pStyle w:val="TTitleText"/>
            </w:pPr>
            <w:bookmarkStart w:id="2" w:name="SNEID_d01d09a79bef44ffa2bd198055d4873f"/>
            <w:r>
              <w:lastRenderedPageBreak/>
              <w:t>Excerpt from the income statement</w:t>
            </w:r>
          </w:p>
        </w:tc>
      </w:tr>
      <w:tr w:rsidR="00BC5817" w:rsidRPr="00892BA8" w14:paraId="2DB47724" w14:textId="77777777" w:rsidTr="00D300B1">
        <w:tc>
          <w:tcPr>
            <w:tcW w:w="6333" w:type="dxa"/>
            <w:tcBorders>
              <w:top w:val="single" w:sz="8" w:space="0" w:color="000000"/>
            </w:tcBorders>
            <w:vAlign w:val="bottom"/>
          </w:tcPr>
          <w:p w14:paraId="5BACE6C6" w14:textId="77777777" w:rsidR="00BC5817" w:rsidRDefault="00BC5817" w:rsidP="00D300B1">
            <w:pPr>
              <w:pStyle w:val="TDummy"/>
              <w:keepNext/>
            </w:pPr>
          </w:p>
        </w:tc>
        <w:tc>
          <w:tcPr>
            <w:tcW w:w="119" w:type="dxa"/>
            <w:tcBorders>
              <w:top w:val="single" w:sz="8" w:space="0" w:color="000000"/>
            </w:tcBorders>
            <w:vAlign w:val="bottom"/>
          </w:tcPr>
          <w:p w14:paraId="131E2B60" w14:textId="77777777" w:rsidR="00BC5817" w:rsidRDefault="00BC5817" w:rsidP="00D300B1">
            <w:pPr>
              <w:pStyle w:val="TDummy"/>
              <w:keepNext/>
            </w:pPr>
          </w:p>
        </w:tc>
        <w:tc>
          <w:tcPr>
            <w:tcW w:w="1021" w:type="dxa"/>
            <w:tcBorders>
              <w:top w:val="single" w:sz="8" w:space="0" w:color="000000"/>
            </w:tcBorders>
            <w:vAlign w:val="bottom"/>
          </w:tcPr>
          <w:p w14:paraId="0772B581" w14:textId="77777777" w:rsidR="00BC5817" w:rsidRDefault="00BC5817" w:rsidP="00D300B1">
            <w:pPr>
              <w:pStyle w:val="TDummy"/>
              <w:keepNext/>
            </w:pPr>
          </w:p>
        </w:tc>
        <w:tc>
          <w:tcPr>
            <w:tcW w:w="119" w:type="dxa"/>
            <w:tcBorders>
              <w:top w:val="single" w:sz="8" w:space="0" w:color="000000"/>
            </w:tcBorders>
            <w:vAlign w:val="bottom"/>
          </w:tcPr>
          <w:p w14:paraId="56A9CF1C" w14:textId="77777777" w:rsidR="00BC5817" w:rsidRDefault="00BC5817" w:rsidP="00D300B1">
            <w:pPr>
              <w:pStyle w:val="TDummy"/>
              <w:keepNext/>
            </w:pPr>
          </w:p>
        </w:tc>
        <w:tc>
          <w:tcPr>
            <w:tcW w:w="1021" w:type="dxa"/>
            <w:tcBorders>
              <w:top w:val="single" w:sz="8" w:space="0" w:color="000000"/>
            </w:tcBorders>
            <w:vAlign w:val="bottom"/>
          </w:tcPr>
          <w:p w14:paraId="4B7B3652" w14:textId="77777777" w:rsidR="00BC5817" w:rsidRDefault="00BC5817" w:rsidP="00D300B1">
            <w:pPr>
              <w:pStyle w:val="TDummy"/>
              <w:keepNext/>
            </w:pPr>
          </w:p>
        </w:tc>
        <w:tc>
          <w:tcPr>
            <w:tcW w:w="119" w:type="dxa"/>
            <w:tcBorders>
              <w:top w:val="single" w:sz="8" w:space="0" w:color="000000"/>
            </w:tcBorders>
            <w:vAlign w:val="bottom"/>
          </w:tcPr>
          <w:p w14:paraId="50DFB6C3" w14:textId="77777777" w:rsidR="00BC5817" w:rsidRDefault="00BC5817" w:rsidP="00D300B1">
            <w:pPr>
              <w:pStyle w:val="TDummy"/>
              <w:keepNext/>
            </w:pPr>
          </w:p>
        </w:tc>
        <w:tc>
          <w:tcPr>
            <w:tcW w:w="1021" w:type="dxa"/>
            <w:tcBorders>
              <w:top w:val="single" w:sz="8" w:space="0" w:color="000000"/>
            </w:tcBorders>
            <w:vAlign w:val="bottom"/>
          </w:tcPr>
          <w:p w14:paraId="317341EA" w14:textId="77777777" w:rsidR="00BC5817" w:rsidRDefault="00BC5817" w:rsidP="00D300B1">
            <w:pPr>
              <w:pStyle w:val="TDummy"/>
              <w:keepNext/>
            </w:pPr>
          </w:p>
        </w:tc>
      </w:tr>
      <w:tr w:rsidR="00BC5817" w14:paraId="0CE9AA51" w14:textId="77777777" w:rsidTr="00D300B1">
        <w:tc>
          <w:tcPr>
            <w:tcW w:w="6333" w:type="dxa"/>
            <w:shd w:val="clear" w:color="000000" w:fill="FFFFFF"/>
            <w:vAlign w:val="bottom"/>
          </w:tcPr>
          <w:p w14:paraId="7F4B5E57" w14:textId="77777777" w:rsidR="00BC5817" w:rsidRPr="009512A7" w:rsidRDefault="00BC5817" w:rsidP="00D300B1">
            <w:pPr>
              <w:pStyle w:val="THeadfirstNumber"/>
              <w:rPr>
                <w:lang w:val="en-US"/>
              </w:rPr>
            </w:pPr>
          </w:p>
        </w:tc>
        <w:tc>
          <w:tcPr>
            <w:tcW w:w="119" w:type="dxa"/>
            <w:vAlign w:val="bottom"/>
          </w:tcPr>
          <w:p w14:paraId="096F2DA3" w14:textId="77777777" w:rsidR="00BC5817" w:rsidRPr="009512A7" w:rsidRDefault="00BC5817" w:rsidP="00D300B1">
            <w:pPr>
              <w:pStyle w:val="THeadfirstNumber"/>
              <w:rPr>
                <w:lang w:val="en-US"/>
              </w:rPr>
            </w:pPr>
          </w:p>
        </w:tc>
        <w:tc>
          <w:tcPr>
            <w:tcW w:w="3301" w:type="dxa"/>
            <w:gridSpan w:val="5"/>
            <w:tcBorders>
              <w:bottom w:val="single" w:sz="4" w:space="0" w:color="A59C94"/>
            </w:tcBorders>
            <w:shd w:val="clear" w:color="000000" w:fill="FFFFFF"/>
            <w:vAlign w:val="bottom"/>
          </w:tcPr>
          <w:p w14:paraId="09368DC6" w14:textId="77777777" w:rsidR="00BC5817" w:rsidRDefault="00BC5817" w:rsidP="00D300B1">
            <w:pPr>
              <w:pStyle w:val="THeadfirstNumber"/>
            </w:pPr>
            <w:r>
              <w:t xml:space="preserve">1st </w:t>
            </w:r>
            <w:proofErr w:type="spellStart"/>
            <w:r>
              <w:t>quarter</w:t>
            </w:r>
            <w:proofErr w:type="spellEnd"/>
          </w:p>
        </w:tc>
      </w:tr>
      <w:tr w:rsidR="00BC5817" w14:paraId="786DE782" w14:textId="77777777" w:rsidTr="00D300B1">
        <w:tc>
          <w:tcPr>
            <w:tcW w:w="6333" w:type="dxa"/>
            <w:tcBorders>
              <w:bottom w:val="single" w:sz="4" w:space="0" w:color="000000"/>
            </w:tcBorders>
            <w:shd w:val="clear" w:color="000000" w:fill="FFFFFF"/>
            <w:vAlign w:val="bottom"/>
          </w:tcPr>
          <w:p w14:paraId="7B37A08A" w14:textId="77777777" w:rsidR="00BC5817" w:rsidRDefault="00BC5817" w:rsidP="00D300B1">
            <w:pPr>
              <w:pStyle w:val="THeadlastText"/>
            </w:pPr>
            <w:r>
              <w:t xml:space="preserve">in € </w:t>
            </w:r>
            <w:proofErr w:type="spellStart"/>
            <w:r>
              <w:t>million</w:t>
            </w:r>
            <w:proofErr w:type="spellEnd"/>
          </w:p>
        </w:tc>
        <w:tc>
          <w:tcPr>
            <w:tcW w:w="119" w:type="dxa"/>
            <w:vAlign w:val="bottom"/>
          </w:tcPr>
          <w:p w14:paraId="2016DA67" w14:textId="77777777" w:rsidR="00BC5817" w:rsidRDefault="00BC5817" w:rsidP="00D300B1">
            <w:pPr>
              <w:pStyle w:val="THeadlastNumber"/>
            </w:pPr>
          </w:p>
        </w:tc>
        <w:tc>
          <w:tcPr>
            <w:tcW w:w="1021" w:type="dxa"/>
            <w:tcBorders>
              <w:top w:val="single" w:sz="4" w:space="0" w:color="A59C94"/>
              <w:bottom w:val="single" w:sz="4" w:space="0" w:color="000000"/>
            </w:tcBorders>
            <w:shd w:val="clear" w:color="000000" w:fill="FFFFFF"/>
            <w:vAlign w:val="bottom"/>
          </w:tcPr>
          <w:p w14:paraId="27C55618" w14:textId="77777777" w:rsidR="00BC5817" w:rsidRDefault="00BC5817" w:rsidP="00D300B1">
            <w:pPr>
              <w:pStyle w:val="THeadlastNumber"/>
            </w:pPr>
            <w:r>
              <w:t>2020</w:t>
            </w:r>
          </w:p>
        </w:tc>
        <w:tc>
          <w:tcPr>
            <w:tcW w:w="119" w:type="dxa"/>
            <w:vAlign w:val="bottom"/>
          </w:tcPr>
          <w:p w14:paraId="5884A4CB" w14:textId="77777777" w:rsidR="00BC5817" w:rsidRDefault="00BC5817" w:rsidP="00D300B1">
            <w:pPr>
              <w:pStyle w:val="THeadlastNumber"/>
            </w:pPr>
          </w:p>
        </w:tc>
        <w:tc>
          <w:tcPr>
            <w:tcW w:w="1021" w:type="dxa"/>
            <w:tcBorders>
              <w:top w:val="single" w:sz="4" w:space="0" w:color="A59C94"/>
              <w:bottom w:val="single" w:sz="4" w:space="0" w:color="000000"/>
            </w:tcBorders>
            <w:shd w:val="clear" w:color="000000" w:fill="FFFFFF"/>
            <w:vAlign w:val="bottom"/>
          </w:tcPr>
          <w:p w14:paraId="73B2E3EC" w14:textId="77777777" w:rsidR="00BC5817" w:rsidRDefault="00BC5817" w:rsidP="00D300B1">
            <w:pPr>
              <w:pStyle w:val="THeadlastNumberbold"/>
            </w:pPr>
            <w:r>
              <w:t>2021</w:t>
            </w:r>
          </w:p>
        </w:tc>
        <w:tc>
          <w:tcPr>
            <w:tcW w:w="119" w:type="dxa"/>
            <w:vAlign w:val="bottom"/>
          </w:tcPr>
          <w:p w14:paraId="30DECF51" w14:textId="77777777" w:rsidR="00BC5817" w:rsidRDefault="00BC5817" w:rsidP="00D300B1">
            <w:pPr>
              <w:pStyle w:val="THeadlastNumber"/>
            </w:pPr>
          </w:p>
        </w:tc>
        <w:tc>
          <w:tcPr>
            <w:tcW w:w="1021" w:type="dxa"/>
            <w:tcBorders>
              <w:top w:val="single" w:sz="4" w:space="0" w:color="A59C94"/>
              <w:bottom w:val="single" w:sz="4" w:space="0" w:color="000000"/>
            </w:tcBorders>
            <w:shd w:val="clear" w:color="000000" w:fill="FFFFFF"/>
            <w:vAlign w:val="bottom"/>
          </w:tcPr>
          <w:p w14:paraId="6EC4368E" w14:textId="77777777" w:rsidR="00BC5817" w:rsidRDefault="00BC5817" w:rsidP="00D300B1">
            <w:pPr>
              <w:pStyle w:val="THeaddifferenceNumber"/>
              <w:keepNext/>
            </w:pPr>
            <w:r>
              <w:t>Change in %</w:t>
            </w:r>
          </w:p>
        </w:tc>
      </w:tr>
      <w:tr w:rsidR="00BC5817" w14:paraId="7FD177CF" w14:textId="77777777" w:rsidTr="00D300B1">
        <w:tc>
          <w:tcPr>
            <w:tcW w:w="6333" w:type="dxa"/>
            <w:tcBorders>
              <w:top w:val="single" w:sz="4" w:space="0" w:color="000000"/>
              <w:bottom w:val="single" w:sz="4" w:space="0" w:color="A59C94"/>
            </w:tcBorders>
            <w:vAlign w:val="bottom"/>
          </w:tcPr>
          <w:p w14:paraId="2B57653B" w14:textId="77777777" w:rsidR="00BC5817" w:rsidRDefault="00BC5817" w:rsidP="00D300B1">
            <w:pPr>
              <w:pStyle w:val="TBodysubtotalText"/>
              <w:keepNext/>
            </w:pPr>
            <w:r>
              <w:t>Sales</w:t>
            </w:r>
          </w:p>
        </w:tc>
        <w:tc>
          <w:tcPr>
            <w:tcW w:w="119" w:type="dxa"/>
            <w:vAlign w:val="bottom"/>
          </w:tcPr>
          <w:p w14:paraId="52D35DC7" w14:textId="77777777" w:rsidR="00BC5817" w:rsidRDefault="00BC5817" w:rsidP="00D300B1">
            <w:pPr>
              <w:pStyle w:val="TBodysubtotalNumber"/>
              <w:keepNext/>
            </w:pPr>
          </w:p>
        </w:tc>
        <w:tc>
          <w:tcPr>
            <w:tcW w:w="1021" w:type="dxa"/>
            <w:tcBorders>
              <w:top w:val="single" w:sz="4" w:space="0" w:color="000000"/>
              <w:bottom w:val="single" w:sz="4" w:space="0" w:color="A59C94"/>
            </w:tcBorders>
            <w:vAlign w:val="bottom"/>
          </w:tcPr>
          <w:p w14:paraId="11C170DD" w14:textId="77777777" w:rsidR="00BC5817" w:rsidRDefault="00BC5817" w:rsidP="00D300B1">
            <w:pPr>
              <w:pStyle w:val="TBodysubtotalNumber"/>
              <w:keepNext/>
            </w:pPr>
            <w:r>
              <w:t>3,243</w:t>
            </w:r>
          </w:p>
        </w:tc>
        <w:tc>
          <w:tcPr>
            <w:tcW w:w="119" w:type="dxa"/>
            <w:vAlign w:val="bottom"/>
          </w:tcPr>
          <w:p w14:paraId="45139265" w14:textId="77777777" w:rsidR="00BC5817" w:rsidRDefault="00BC5817" w:rsidP="00D300B1">
            <w:pPr>
              <w:pStyle w:val="TBodysubtotalNumber"/>
              <w:keepNext/>
            </w:pPr>
          </w:p>
        </w:tc>
        <w:tc>
          <w:tcPr>
            <w:tcW w:w="1021" w:type="dxa"/>
            <w:tcBorders>
              <w:top w:val="single" w:sz="4" w:space="0" w:color="000000"/>
              <w:bottom w:val="single" w:sz="4" w:space="0" w:color="A59C94"/>
            </w:tcBorders>
            <w:shd w:val="clear" w:color="000000" w:fill="DAD5C9"/>
            <w:vAlign w:val="bottom"/>
          </w:tcPr>
          <w:p w14:paraId="1AE40ACE" w14:textId="77777777" w:rsidR="00BC5817" w:rsidRDefault="00BC5817" w:rsidP="00D300B1">
            <w:pPr>
              <w:pStyle w:val="TBodysubtotalNumber"/>
              <w:keepNext/>
            </w:pPr>
            <w:r>
              <w:t>3,358</w:t>
            </w:r>
          </w:p>
        </w:tc>
        <w:tc>
          <w:tcPr>
            <w:tcW w:w="119" w:type="dxa"/>
            <w:vAlign w:val="bottom"/>
          </w:tcPr>
          <w:p w14:paraId="397F39B5" w14:textId="77777777" w:rsidR="00BC5817" w:rsidRDefault="00BC5817" w:rsidP="00D300B1">
            <w:pPr>
              <w:pStyle w:val="TBodysubtotalNumber"/>
              <w:keepNext/>
            </w:pPr>
          </w:p>
        </w:tc>
        <w:tc>
          <w:tcPr>
            <w:tcW w:w="1021" w:type="dxa"/>
            <w:tcBorders>
              <w:top w:val="single" w:sz="4" w:space="0" w:color="000000"/>
              <w:bottom w:val="single" w:sz="4" w:space="0" w:color="A59C94"/>
            </w:tcBorders>
            <w:vAlign w:val="bottom"/>
          </w:tcPr>
          <w:p w14:paraId="60D5A96C" w14:textId="77777777" w:rsidR="00BC5817" w:rsidRDefault="00BC5817" w:rsidP="00D300B1">
            <w:pPr>
              <w:pStyle w:val="TBodysubtotalNumber"/>
              <w:keepNext/>
            </w:pPr>
            <w:r>
              <w:t>4</w:t>
            </w:r>
          </w:p>
        </w:tc>
      </w:tr>
      <w:tr w:rsidR="00BC5817" w14:paraId="7668B817" w14:textId="77777777" w:rsidTr="00D300B1">
        <w:tc>
          <w:tcPr>
            <w:tcW w:w="6333" w:type="dxa"/>
            <w:tcBorders>
              <w:top w:val="single" w:sz="4" w:space="0" w:color="A59C94"/>
              <w:bottom w:val="single" w:sz="4" w:space="0" w:color="A59C94"/>
            </w:tcBorders>
            <w:vAlign w:val="bottom"/>
          </w:tcPr>
          <w:p w14:paraId="21EE4FC4" w14:textId="77777777" w:rsidR="00BC5817" w:rsidRDefault="00BC5817" w:rsidP="00D300B1">
            <w:pPr>
              <w:pStyle w:val="TBodysubtotalText"/>
              <w:keepNext/>
            </w:pPr>
            <w:proofErr w:type="spellStart"/>
            <w:r>
              <w:t>Adjusted</w:t>
            </w:r>
            <w:proofErr w:type="spellEnd"/>
            <w:r>
              <w:t xml:space="preserve"> EBITDA</w:t>
            </w:r>
          </w:p>
        </w:tc>
        <w:tc>
          <w:tcPr>
            <w:tcW w:w="119" w:type="dxa"/>
            <w:vAlign w:val="bottom"/>
          </w:tcPr>
          <w:p w14:paraId="4E76C694" w14:textId="77777777" w:rsidR="00BC5817" w:rsidRDefault="00BC5817" w:rsidP="00D300B1">
            <w:pPr>
              <w:pStyle w:val="TBodysubtotalNumber"/>
              <w:keepNext/>
            </w:pPr>
          </w:p>
        </w:tc>
        <w:tc>
          <w:tcPr>
            <w:tcW w:w="1021" w:type="dxa"/>
            <w:tcBorders>
              <w:top w:val="single" w:sz="4" w:space="0" w:color="A59C94"/>
              <w:bottom w:val="single" w:sz="4" w:space="0" w:color="A59C94"/>
            </w:tcBorders>
            <w:vAlign w:val="bottom"/>
          </w:tcPr>
          <w:p w14:paraId="3DACF455" w14:textId="77777777" w:rsidR="00BC5817" w:rsidRDefault="00BC5817" w:rsidP="00D300B1">
            <w:pPr>
              <w:pStyle w:val="TBodysubtotalNumber"/>
              <w:keepNext/>
            </w:pPr>
            <w:r>
              <w:t>513</w:t>
            </w:r>
          </w:p>
        </w:tc>
        <w:tc>
          <w:tcPr>
            <w:tcW w:w="119" w:type="dxa"/>
            <w:vAlign w:val="bottom"/>
          </w:tcPr>
          <w:p w14:paraId="2F262F2E" w14:textId="77777777" w:rsidR="00BC5817" w:rsidRDefault="00BC5817" w:rsidP="00D300B1">
            <w:pPr>
              <w:pStyle w:val="TBodysubtotalNumber"/>
              <w:keepNext/>
            </w:pPr>
          </w:p>
        </w:tc>
        <w:tc>
          <w:tcPr>
            <w:tcW w:w="1021" w:type="dxa"/>
            <w:tcBorders>
              <w:top w:val="single" w:sz="4" w:space="0" w:color="A59C94"/>
              <w:bottom w:val="single" w:sz="4" w:space="0" w:color="A59C94"/>
            </w:tcBorders>
            <w:shd w:val="clear" w:color="000000" w:fill="DAD5C9"/>
            <w:vAlign w:val="bottom"/>
          </w:tcPr>
          <w:p w14:paraId="66ECCA6E" w14:textId="77777777" w:rsidR="00BC5817" w:rsidRDefault="00BC5817" w:rsidP="00D300B1">
            <w:pPr>
              <w:pStyle w:val="TBodysubtotalNumber"/>
              <w:keepNext/>
            </w:pPr>
            <w:r>
              <w:t>588</w:t>
            </w:r>
          </w:p>
        </w:tc>
        <w:tc>
          <w:tcPr>
            <w:tcW w:w="119" w:type="dxa"/>
            <w:vAlign w:val="bottom"/>
          </w:tcPr>
          <w:p w14:paraId="251ECC2F" w14:textId="77777777" w:rsidR="00BC5817" w:rsidRDefault="00BC5817" w:rsidP="00D300B1">
            <w:pPr>
              <w:pStyle w:val="TBodysubtotalNumber"/>
              <w:keepNext/>
            </w:pPr>
          </w:p>
        </w:tc>
        <w:tc>
          <w:tcPr>
            <w:tcW w:w="1021" w:type="dxa"/>
            <w:tcBorders>
              <w:top w:val="single" w:sz="4" w:space="0" w:color="A59C94"/>
              <w:bottom w:val="single" w:sz="4" w:space="0" w:color="A59C94"/>
            </w:tcBorders>
            <w:vAlign w:val="bottom"/>
          </w:tcPr>
          <w:p w14:paraId="298BE1F8" w14:textId="77777777" w:rsidR="00BC5817" w:rsidRDefault="00BC5817" w:rsidP="00D300B1">
            <w:pPr>
              <w:pStyle w:val="TBodysubtotalNumber"/>
              <w:keepNext/>
            </w:pPr>
            <w:r>
              <w:t>15</w:t>
            </w:r>
          </w:p>
        </w:tc>
      </w:tr>
      <w:tr w:rsidR="00BC5817" w14:paraId="1F3C8554" w14:textId="77777777" w:rsidTr="00D300B1">
        <w:tc>
          <w:tcPr>
            <w:tcW w:w="6333" w:type="dxa"/>
            <w:tcBorders>
              <w:top w:val="single" w:sz="4" w:space="0" w:color="A59C94"/>
              <w:bottom w:val="single" w:sz="4" w:space="0" w:color="A59C94"/>
            </w:tcBorders>
            <w:vAlign w:val="bottom"/>
          </w:tcPr>
          <w:p w14:paraId="2A6B31C2" w14:textId="77777777" w:rsidR="00BC5817" w:rsidRDefault="00BC5817" w:rsidP="00D300B1">
            <w:pPr>
              <w:pStyle w:val="TBodysubtotalText"/>
              <w:keepNext/>
            </w:pPr>
            <w:proofErr w:type="spellStart"/>
            <w:r>
              <w:t>Adjusted</w:t>
            </w:r>
            <w:proofErr w:type="spellEnd"/>
            <w:r>
              <w:t xml:space="preserve"> EBIT</w:t>
            </w:r>
          </w:p>
        </w:tc>
        <w:tc>
          <w:tcPr>
            <w:tcW w:w="119" w:type="dxa"/>
            <w:vAlign w:val="bottom"/>
          </w:tcPr>
          <w:p w14:paraId="6D60AC6D" w14:textId="77777777" w:rsidR="00BC5817" w:rsidRDefault="00BC5817" w:rsidP="00D300B1">
            <w:pPr>
              <w:pStyle w:val="TBodysubtotalNumber"/>
              <w:keepNext/>
            </w:pPr>
          </w:p>
        </w:tc>
        <w:tc>
          <w:tcPr>
            <w:tcW w:w="1021" w:type="dxa"/>
            <w:tcBorders>
              <w:top w:val="single" w:sz="4" w:space="0" w:color="A59C94"/>
              <w:bottom w:val="single" w:sz="4" w:space="0" w:color="A59C94"/>
            </w:tcBorders>
            <w:vAlign w:val="bottom"/>
          </w:tcPr>
          <w:p w14:paraId="30C3C058" w14:textId="77777777" w:rsidR="00BC5817" w:rsidRDefault="00BC5817" w:rsidP="00D300B1">
            <w:pPr>
              <w:pStyle w:val="TBodysubtotalNumber"/>
              <w:keepNext/>
            </w:pPr>
            <w:r>
              <w:t>273</w:t>
            </w:r>
          </w:p>
        </w:tc>
        <w:tc>
          <w:tcPr>
            <w:tcW w:w="119" w:type="dxa"/>
            <w:vAlign w:val="bottom"/>
          </w:tcPr>
          <w:p w14:paraId="60B6B56D" w14:textId="77777777" w:rsidR="00BC5817" w:rsidRDefault="00BC5817" w:rsidP="00D300B1">
            <w:pPr>
              <w:pStyle w:val="TBodysubtotalNumber"/>
              <w:keepNext/>
            </w:pPr>
          </w:p>
        </w:tc>
        <w:tc>
          <w:tcPr>
            <w:tcW w:w="1021" w:type="dxa"/>
            <w:tcBorders>
              <w:top w:val="single" w:sz="4" w:space="0" w:color="A59C94"/>
              <w:bottom w:val="single" w:sz="4" w:space="0" w:color="A59C94"/>
            </w:tcBorders>
            <w:shd w:val="clear" w:color="000000" w:fill="DAD5C9"/>
            <w:vAlign w:val="bottom"/>
          </w:tcPr>
          <w:p w14:paraId="5C5AFF0C" w14:textId="77777777" w:rsidR="00BC5817" w:rsidRDefault="00BC5817" w:rsidP="00D300B1">
            <w:pPr>
              <w:pStyle w:val="TBodysubtotalNumber"/>
              <w:keepNext/>
            </w:pPr>
            <w:r>
              <w:t>336</w:t>
            </w:r>
          </w:p>
        </w:tc>
        <w:tc>
          <w:tcPr>
            <w:tcW w:w="119" w:type="dxa"/>
            <w:vAlign w:val="bottom"/>
          </w:tcPr>
          <w:p w14:paraId="29F75124" w14:textId="77777777" w:rsidR="00BC5817" w:rsidRDefault="00BC5817" w:rsidP="00D300B1">
            <w:pPr>
              <w:pStyle w:val="TBodysubtotalNumber"/>
              <w:keepNext/>
            </w:pPr>
          </w:p>
        </w:tc>
        <w:tc>
          <w:tcPr>
            <w:tcW w:w="1021" w:type="dxa"/>
            <w:tcBorders>
              <w:top w:val="single" w:sz="4" w:space="0" w:color="A59C94"/>
              <w:bottom w:val="single" w:sz="4" w:space="0" w:color="A59C94"/>
            </w:tcBorders>
            <w:vAlign w:val="bottom"/>
          </w:tcPr>
          <w:p w14:paraId="0FF0AD7E" w14:textId="77777777" w:rsidR="00BC5817" w:rsidRDefault="00BC5817" w:rsidP="00D300B1">
            <w:pPr>
              <w:pStyle w:val="TBodysubtotalNumber"/>
              <w:keepNext/>
            </w:pPr>
            <w:r>
              <w:t>23</w:t>
            </w:r>
          </w:p>
        </w:tc>
      </w:tr>
      <w:tr w:rsidR="00BC5817" w14:paraId="3C7CD750" w14:textId="77777777" w:rsidTr="00D300B1">
        <w:tc>
          <w:tcPr>
            <w:tcW w:w="6333" w:type="dxa"/>
            <w:tcBorders>
              <w:top w:val="single" w:sz="4" w:space="0" w:color="A59C94"/>
              <w:bottom w:val="single" w:sz="4" w:space="0" w:color="A59C94"/>
            </w:tcBorders>
            <w:vAlign w:val="bottom"/>
          </w:tcPr>
          <w:p w14:paraId="6FD3B716" w14:textId="77777777" w:rsidR="00BC5817" w:rsidRDefault="00BC5817" w:rsidP="00D300B1">
            <w:pPr>
              <w:pStyle w:val="TBodynormalText"/>
            </w:pPr>
            <w:r>
              <w:t>Adjustments</w:t>
            </w:r>
          </w:p>
        </w:tc>
        <w:tc>
          <w:tcPr>
            <w:tcW w:w="119" w:type="dxa"/>
            <w:vAlign w:val="bottom"/>
          </w:tcPr>
          <w:p w14:paraId="2823C373" w14:textId="77777777" w:rsidR="00BC5817" w:rsidRDefault="00BC5817" w:rsidP="00D300B1">
            <w:pPr>
              <w:pStyle w:val="TBodynormalNumber"/>
              <w:keepNext/>
            </w:pPr>
          </w:p>
        </w:tc>
        <w:tc>
          <w:tcPr>
            <w:tcW w:w="1021" w:type="dxa"/>
            <w:tcBorders>
              <w:top w:val="single" w:sz="4" w:space="0" w:color="A59C94"/>
              <w:bottom w:val="single" w:sz="4" w:space="0" w:color="A59C94"/>
            </w:tcBorders>
            <w:vAlign w:val="bottom"/>
          </w:tcPr>
          <w:p w14:paraId="7F0DE160" w14:textId="77777777" w:rsidR="00BC5817" w:rsidRDefault="00BC5817" w:rsidP="00D300B1">
            <w:pPr>
              <w:pStyle w:val="TBodynormalNumber"/>
              <w:keepNext/>
            </w:pPr>
            <w:r>
              <w:t>-26</w:t>
            </w:r>
          </w:p>
        </w:tc>
        <w:tc>
          <w:tcPr>
            <w:tcW w:w="119" w:type="dxa"/>
            <w:vAlign w:val="bottom"/>
          </w:tcPr>
          <w:p w14:paraId="528C0E78" w14:textId="77777777" w:rsidR="00BC5817" w:rsidRDefault="00BC5817"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6213EF54" w14:textId="77777777" w:rsidR="00BC5817" w:rsidRDefault="00BC5817" w:rsidP="00D300B1">
            <w:pPr>
              <w:pStyle w:val="TBodynormalNumber"/>
              <w:keepNext/>
            </w:pPr>
            <w:r>
              <w:t>-28</w:t>
            </w:r>
          </w:p>
        </w:tc>
        <w:tc>
          <w:tcPr>
            <w:tcW w:w="119" w:type="dxa"/>
            <w:vAlign w:val="bottom"/>
          </w:tcPr>
          <w:p w14:paraId="31D14C46" w14:textId="77777777" w:rsidR="00BC5817" w:rsidRDefault="00BC5817" w:rsidP="00D300B1">
            <w:pPr>
              <w:pStyle w:val="TBodynormalNumber"/>
              <w:keepNext/>
            </w:pPr>
          </w:p>
        </w:tc>
        <w:tc>
          <w:tcPr>
            <w:tcW w:w="1021" w:type="dxa"/>
            <w:tcBorders>
              <w:top w:val="single" w:sz="4" w:space="0" w:color="A59C94"/>
              <w:bottom w:val="single" w:sz="4" w:space="0" w:color="A59C94"/>
            </w:tcBorders>
            <w:vAlign w:val="bottom"/>
          </w:tcPr>
          <w:p w14:paraId="4567DC57" w14:textId="77777777" w:rsidR="00BC5817" w:rsidRDefault="00BC5817" w:rsidP="00D300B1">
            <w:pPr>
              <w:pStyle w:val="TBodynormalNumber"/>
              <w:keepNext/>
            </w:pPr>
          </w:p>
        </w:tc>
      </w:tr>
      <w:tr w:rsidR="00BC5817" w14:paraId="324DABE5" w14:textId="77777777" w:rsidTr="00D300B1">
        <w:tc>
          <w:tcPr>
            <w:tcW w:w="6333" w:type="dxa"/>
            <w:tcBorders>
              <w:top w:val="single" w:sz="4" w:space="0" w:color="A59C94"/>
              <w:bottom w:val="single" w:sz="4" w:space="0" w:color="A59C94"/>
            </w:tcBorders>
            <w:vAlign w:val="bottom"/>
          </w:tcPr>
          <w:p w14:paraId="1C5CEC82" w14:textId="77777777" w:rsidR="00BC5817" w:rsidRDefault="00BC5817" w:rsidP="00D300B1">
            <w:pPr>
              <w:pStyle w:val="TBodynormalText"/>
            </w:pPr>
            <w:r>
              <w:t xml:space="preserve">Financial </w:t>
            </w:r>
            <w:proofErr w:type="spellStart"/>
            <w:r>
              <w:t>result</w:t>
            </w:r>
            <w:proofErr w:type="spellEnd"/>
          </w:p>
        </w:tc>
        <w:tc>
          <w:tcPr>
            <w:tcW w:w="119" w:type="dxa"/>
            <w:vAlign w:val="bottom"/>
          </w:tcPr>
          <w:p w14:paraId="33EA05E7" w14:textId="77777777" w:rsidR="00BC5817" w:rsidRDefault="00BC5817" w:rsidP="00D300B1">
            <w:pPr>
              <w:pStyle w:val="TBodynormalNumber"/>
              <w:keepNext/>
            </w:pPr>
          </w:p>
        </w:tc>
        <w:tc>
          <w:tcPr>
            <w:tcW w:w="1021" w:type="dxa"/>
            <w:tcBorders>
              <w:top w:val="single" w:sz="4" w:space="0" w:color="A59C94"/>
              <w:bottom w:val="single" w:sz="4" w:space="0" w:color="A59C94"/>
            </w:tcBorders>
            <w:vAlign w:val="bottom"/>
          </w:tcPr>
          <w:p w14:paraId="33F13E1E" w14:textId="77777777" w:rsidR="00BC5817" w:rsidRDefault="00BC5817" w:rsidP="00D300B1">
            <w:pPr>
              <w:pStyle w:val="TBodynormalNumber"/>
              <w:keepNext/>
            </w:pPr>
            <w:r>
              <w:t>-50</w:t>
            </w:r>
          </w:p>
        </w:tc>
        <w:tc>
          <w:tcPr>
            <w:tcW w:w="119" w:type="dxa"/>
            <w:vAlign w:val="bottom"/>
          </w:tcPr>
          <w:p w14:paraId="48E8DE83" w14:textId="77777777" w:rsidR="00BC5817" w:rsidRDefault="00BC5817" w:rsidP="00D300B1">
            <w:pPr>
              <w:pStyle w:val="TBodynormalNumber"/>
              <w:keepNext/>
            </w:pPr>
          </w:p>
        </w:tc>
        <w:tc>
          <w:tcPr>
            <w:tcW w:w="1021" w:type="dxa"/>
            <w:tcBorders>
              <w:top w:val="single" w:sz="4" w:space="0" w:color="A59C94"/>
              <w:bottom w:val="single" w:sz="4" w:space="0" w:color="A59C94"/>
            </w:tcBorders>
            <w:shd w:val="clear" w:color="000000" w:fill="DAD5C9"/>
            <w:vAlign w:val="bottom"/>
          </w:tcPr>
          <w:p w14:paraId="28AD2AB9" w14:textId="77777777" w:rsidR="00BC5817" w:rsidRDefault="00BC5817" w:rsidP="00D300B1">
            <w:pPr>
              <w:pStyle w:val="TBodynormalNumber"/>
              <w:keepNext/>
            </w:pPr>
            <w:r>
              <w:t>-21</w:t>
            </w:r>
          </w:p>
        </w:tc>
        <w:tc>
          <w:tcPr>
            <w:tcW w:w="119" w:type="dxa"/>
            <w:vAlign w:val="bottom"/>
          </w:tcPr>
          <w:p w14:paraId="164CBA99" w14:textId="77777777" w:rsidR="00BC5817" w:rsidRDefault="00BC5817" w:rsidP="00D300B1">
            <w:pPr>
              <w:pStyle w:val="TBodynormalNumber"/>
              <w:keepNext/>
            </w:pPr>
          </w:p>
        </w:tc>
        <w:tc>
          <w:tcPr>
            <w:tcW w:w="1021" w:type="dxa"/>
            <w:tcBorders>
              <w:top w:val="single" w:sz="4" w:space="0" w:color="A59C94"/>
              <w:bottom w:val="single" w:sz="4" w:space="0" w:color="A59C94"/>
            </w:tcBorders>
            <w:vAlign w:val="bottom"/>
          </w:tcPr>
          <w:p w14:paraId="189F4CB0" w14:textId="77777777" w:rsidR="00BC5817" w:rsidRDefault="00BC5817" w:rsidP="00D300B1">
            <w:pPr>
              <w:pStyle w:val="TBodynormalNumber"/>
              <w:keepNext/>
            </w:pPr>
          </w:p>
        </w:tc>
      </w:tr>
      <w:tr w:rsidR="00BC5817" w14:paraId="75B35596" w14:textId="77777777" w:rsidTr="00D300B1">
        <w:tc>
          <w:tcPr>
            <w:tcW w:w="6333" w:type="dxa"/>
            <w:tcBorders>
              <w:top w:val="single" w:sz="4" w:space="0" w:color="A59C94"/>
              <w:bottom w:val="single" w:sz="4" w:space="0" w:color="000000"/>
            </w:tcBorders>
            <w:vAlign w:val="bottom"/>
          </w:tcPr>
          <w:p w14:paraId="68C82D41" w14:textId="77777777" w:rsidR="00BC5817" w:rsidRPr="009512A7" w:rsidRDefault="00BC5817" w:rsidP="00D300B1">
            <w:pPr>
              <w:pStyle w:val="TBodysubtotalText"/>
              <w:keepNext/>
              <w:rPr>
                <w:lang w:val="en-US"/>
              </w:rPr>
            </w:pPr>
            <w:r w:rsidRPr="009512A7">
              <w:rPr>
                <w:lang w:val="en-US"/>
              </w:rPr>
              <w:t>Income before income taxes, continuing operations</w:t>
            </w:r>
          </w:p>
        </w:tc>
        <w:tc>
          <w:tcPr>
            <w:tcW w:w="119" w:type="dxa"/>
            <w:vAlign w:val="bottom"/>
          </w:tcPr>
          <w:p w14:paraId="627D183D" w14:textId="77777777" w:rsidR="00BC5817" w:rsidRPr="009512A7" w:rsidRDefault="00BC5817" w:rsidP="00D300B1">
            <w:pPr>
              <w:pStyle w:val="TBodysubtotalNumber"/>
              <w:keepNext/>
              <w:rPr>
                <w:lang w:val="en-US"/>
              </w:rPr>
            </w:pPr>
          </w:p>
        </w:tc>
        <w:tc>
          <w:tcPr>
            <w:tcW w:w="1021" w:type="dxa"/>
            <w:tcBorders>
              <w:top w:val="single" w:sz="4" w:space="0" w:color="A59C94"/>
              <w:bottom w:val="single" w:sz="4" w:space="0" w:color="000000"/>
            </w:tcBorders>
            <w:vAlign w:val="bottom"/>
          </w:tcPr>
          <w:p w14:paraId="7417BF23" w14:textId="77777777" w:rsidR="00BC5817" w:rsidRDefault="00BC5817" w:rsidP="00D300B1">
            <w:pPr>
              <w:pStyle w:val="TBodysubtotalNumber"/>
              <w:keepNext/>
            </w:pPr>
            <w:r>
              <w:t>197</w:t>
            </w:r>
          </w:p>
        </w:tc>
        <w:tc>
          <w:tcPr>
            <w:tcW w:w="119" w:type="dxa"/>
            <w:vAlign w:val="bottom"/>
          </w:tcPr>
          <w:p w14:paraId="4E0C9FE5" w14:textId="77777777" w:rsidR="00BC5817" w:rsidRDefault="00BC5817" w:rsidP="00D300B1">
            <w:pPr>
              <w:pStyle w:val="TBodysubtotalNumber"/>
              <w:keepNext/>
            </w:pPr>
          </w:p>
        </w:tc>
        <w:tc>
          <w:tcPr>
            <w:tcW w:w="1021" w:type="dxa"/>
            <w:tcBorders>
              <w:top w:val="single" w:sz="4" w:space="0" w:color="A59C94"/>
              <w:bottom w:val="single" w:sz="4" w:space="0" w:color="000000"/>
            </w:tcBorders>
            <w:shd w:val="clear" w:color="000000" w:fill="DAD5C9"/>
            <w:vAlign w:val="bottom"/>
          </w:tcPr>
          <w:p w14:paraId="555EE989" w14:textId="77777777" w:rsidR="00BC5817" w:rsidRDefault="00BC5817" w:rsidP="00D300B1">
            <w:pPr>
              <w:pStyle w:val="TBodysubtotalNumber"/>
              <w:keepNext/>
            </w:pPr>
            <w:r>
              <w:t>287</w:t>
            </w:r>
          </w:p>
        </w:tc>
        <w:tc>
          <w:tcPr>
            <w:tcW w:w="119" w:type="dxa"/>
            <w:vAlign w:val="bottom"/>
          </w:tcPr>
          <w:p w14:paraId="35320257"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5A9087B7" w14:textId="77777777" w:rsidR="00BC5817" w:rsidRDefault="00BC5817" w:rsidP="00D300B1">
            <w:pPr>
              <w:pStyle w:val="TBodysubtotalNumber"/>
              <w:keepNext/>
            </w:pPr>
            <w:r>
              <w:t>46</w:t>
            </w:r>
          </w:p>
        </w:tc>
      </w:tr>
      <w:tr w:rsidR="00BC5817" w14:paraId="2ABB1DE7" w14:textId="77777777" w:rsidTr="00D300B1">
        <w:trPr>
          <w:trHeight w:val="340"/>
        </w:trPr>
        <w:tc>
          <w:tcPr>
            <w:tcW w:w="6333" w:type="dxa"/>
            <w:tcBorders>
              <w:top w:val="single" w:sz="4" w:space="0" w:color="000000"/>
              <w:bottom w:val="single" w:sz="4" w:space="0" w:color="A59C94"/>
            </w:tcBorders>
            <w:vAlign w:val="bottom"/>
          </w:tcPr>
          <w:p w14:paraId="7BE76116" w14:textId="77777777" w:rsidR="00BC5817" w:rsidRDefault="00BC5817" w:rsidP="00D300B1">
            <w:pPr>
              <w:pStyle w:val="TBodynormalText"/>
            </w:pPr>
            <w:r>
              <w:t xml:space="preserve">Income </w:t>
            </w:r>
            <w:proofErr w:type="spellStart"/>
            <w:r>
              <w:t>taxes</w:t>
            </w:r>
            <w:proofErr w:type="spellEnd"/>
          </w:p>
        </w:tc>
        <w:tc>
          <w:tcPr>
            <w:tcW w:w="119" w:type="dxa"/>
            <w:vAlign w:val="bottom"/>
          </w:tcPr>
          <w:p w14:paraId="76848419" w14:textId="77777777" w:rsidR="00BC5817" w:rsidRDefault="00BC5817" w:rsidP="00D300B1">
            <w:pPr>
              <w:pStyle w:val="TBodynormalNumber"/>
              <w:keepNext/>
            </w:pPr>
          </w:p>
        </w:tc>
        <w:tc>
          <w:tcPr>
            <w:tcW w:w="1021" w:type="dxa"/>
            <w:tcBorders>
              <w:top w:val="single" w:sz="4" w:space="0" w:color="000000"/>
              <w:bottom w:val="single" w:sz="4" w:space="0" w:color="A59C94"/>
            </w:tcBorders>
            <w:vAlign w:val="bottom"/>
          </w:tcPr>
          <w:p w14:paraId="54CC9DB4" w14:textId="77777777" w:rsidR="00BC5817" w:rsidRDefault="00BC5817" w:rsidP="00D300B1">
            <w:pPr>
              <w:pStyle w:val="TBodynormalNumber"/>
              <w:keepNext/>
            </w:pPr>
            <w:r>
              <w:t>-57</w:t>
            </w:r>
          </w:p>
        </w:tc>
        <w:tc>
          <w:tcPr>
            <w:tcW w:w="119" w:type="dxa"/>
            <w:vAlign w:val="bottom"/>
          </w:tcPr>
          <w:p w14:paraId="48CAEE83" w14:textId="77777777" w:rsidR="00BC5817" w:rsidRDefault="00BC5817"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2C2CF58D" w14:textId="77777777" w:rsidR="00BC5817" w:rsidRDefault="00BC5817" w:rsidP="00D300B1">
            <w:pPr>
              <w:pStyle w:val="TBodynormalNumber"/>
              <w:keepNext/>
            </w:pPr>
            <w:r>
              <w:t>-88</w:t>
            </w:r>
          </w:p>
        </w:tc>
        <w:tc>
          <w:tcPr>
            <w:tcW w:w="119" w:type="dxa"/>
            <w:vAlign w:val="bottom"/>
          </w:tcPr>
          <w:p w14:paraId="53D4F385" w14:textId="77777777" w:rsidR="00BC5817" w:rsidRDefault="00BC5817" w:rsidP="00D300B1">
            <w:pPr>
              <w:pStyle w:val="TBodynormalNumber"/>
              <w:keepNext/>
            </w:pPr>
          </w:p>
        </w:tc>
        <w:tc>
          <w:tcPr>
            <w:tcW w:w="1021" w:type="dxa"/>
            <w:tcBorders>
              <w:top w:val="single" w:sz="4" w:space="0" w:color="000000"/>
              <w:bottom w:val="single" w:sz="4" w:space="0" w:color="A59C94"/>
            </w:tcBorders>
            <w:vAlign w:val="bottom"/>
          </w:tcPr>
          <w:p w14:paraId="2B8F123B" w14:textId="77777777" w:rsidR="00BC5817" w:rsidRDefault="00BC5817" w:rsidP="00D300B1">
            <w:pPr>
              <w:pStyle w:val="TBodynormalNumber"/>
              <w:keepNext/>
            </w:pPr>
          </w:p>
        </w:tc>
      </w:tr>
      <w:tr w:rsidR="00BC5817" w14:paraId="0EE43AB4" w14:textId="77777777" w:rsidTr="00D300B1">
        <w:tc>
          <w:tcPr>
            <w:tcW w:w="6333" w:type="dxa"/>
            <w:tcBorders>
              <w:top w:val="single" w:sz="4" w:space="0" w:color="A59C94"/>
              <w:bottom w:val="single" w:sz="4" w:space="0" w:color="000000"/>
            </w:tcBorders>
            <w:vAlign w:val="bottom"/>
          </w:tcPr>
          <w:p w14:paraId="6776F0CC" w14:textId="77777777" w:rsidR="00BC5817" w:rsidRPr="009512A7" w:rsidRDefault="00BC5817" w:rsidP="00D300B1">
            <w:pPr>
              <w:pStyle w:val="TBodysubtotalText"/>
              <w:keepNext/>
              <w:rPr>
                <w:lang w:val="en-US"/>
              </w:rPr>
            </w:pPr>
            <w:r w:rsidRPr="009512A7">
              <w:rPr>
                <w:lang w:val="en-US"/>
              </w:rPr>
              <w:t>Income after income taxes, continuing operations</w:t>
            </w:r>
          </w:p>
        </w:tc>
        <w:tc>
          <w:tcPr>
            <w:tcW w:w="119" w:type="dxa"/>
            <w:vAlign w:val="bottom"/>
          </w:tcPr>
          <w:p w14:paraId="59009FB2" w14:textId="77777777" w:rsidR="00BC5817" w:rsidRPr="009512A7" w:rsidRDefault="00BC5817" w:rsidP="00D300B1">
            <w:pPr>
              <w:pStyle w:val="TBodysubtotalNumber"/>
              <w:keepNext/>
              <w:rPr>
                <w:lang w:val="en-US"/>
              </w:rPr>
            </w:pPr>
          </w:p>
        </w:tc>
        <w:tc>
          <w:tcPr>
            <w:tcW w:w="1021" w:type="dxa"/>
            <w:tcBorders>
              <w:top w:val="single" w:sz="4" w:space="0" w:color="A59C94"/>
              <w:bottom w:val="single" w:sz="4" w:space="0" w:color="000000"/>
            </w:tcBorders>
            <w:vAlign w:val="bottom"/>
          </w:tcPr>
          <w:p w14:paraId="07FB447D" w14:textId="77777777" w:rsidR="00BC5817" w:rsidRDefault="00BC5817" w:rsidP="00D300B1">
            <w:pPr>
              <w:pStyle w:val="TBodysubtotalNumber"/>
              <w:keepNext/>
            </w:pPr>
            <w:r>
              <w:t>140</w:t>
            </w:r>
          </w:p>
        </w:tc>
        <w:tc>
          <w:tcPr>
            <w:tcW w:w="119" w:type="dxa"/>
            <w:vAlign w:val="bottom"/>
          </w:tcPr>
          <w:p w14:paraId="4D7F1433" w14:textId="77777777" w:rsidR="00BC5817" w:rsidRDefault="00BC5817" w:rsidP="00D300B1">
            <w:pPr>
              <w:pStyle w:val="TBodysubtotalNumber"/>
              <w:keepNext/>
            </w:pPr>
          </w:p>
        </w:tc>
        <w:tc>
          <w:tcPr>
            <w:tcW w:w="1021" w:type="dxa"/>
            <w:tcBorders>
              <w:top w:val="single" w:sz="4" w:space="0" w:color="A59C94"/>
              <w:bottom w:val="single" w:sz="4" w:space="0" w:color="000000"/>
            </w:tcBorders>
            <w:shd w:val="clear" w:color="000000" w:fill="DAD5C9"/>
            <w:vAlign w:val="bottom"/>
          </w:tcPr>
          <w:p w14:paraId="1F36C97D" w14:textId="77777777" w:rsidR="00BC5817" w:rsidRDefault="00BC5817" w:rsidP="00D300B1">
            <w:pPr>
              <w:pStyle w:val="TBodysubtotalNumber"/>
              <w:keepNext/>
            </w:pPr>
            <w:r>
              <w:t>199</w:t>
            </w:r>
          </w:p>
        </w:tc>
        <w:tc>
          <w:tcPr>
            <w:tcW w:w="119" w:type="dxa"/>
            <w:vAlign w:val="bottom"/>
          </w:tcPr>
          <w:p w14:paraId="13DC758A"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0B95DA4C" w14:textId="77777777" w:rsidR="00BC5817" w:rsidRDefault="00BC5817" w:rsidP="00D300B1">
            <w:pPr>
              <w:pStyle w:val="TBodysubtotalNumber"/>
              <w:keepNext/>
            </w:pPr>
            <w:r>
              <w:t>42</w:t>
            </w:r>
          </w:p>
        </w:tc>
      </w:tr>
      <w:tr w:rsidR="00BC5817" w14:paraId="3640F214" w14:textId="77777777" w:rsidTr="00D300B1">
        <w:trPr>
          <w:trHeight w:val="340"/>
        </w:trPr>
        <w:tc>
          <w:tcPr>
            <w:tcW w:w="6333" w:type="dxa"/>
            <w:tcBorders>
              <w:top w:val="single" w:sz="4" w:space="0" w:color="000000"/>
              <w:bottom w:val="single" w:sz="4" w:space="0" w:color="A59C94"/>
            </w:tcBorders>
            <w:vAlign w:val="bottom"/>
          </w:tcPr>
          <w:p w14:paraId="64ACBB7E" w14:textId="77777777" w:rsidR="00BC5817" w:rsidRPr="009512A7" w:rsidRDefault="00BC5817" w:rsidP="00D300B1">
            <w:pPr>
              <w:pStyle w:val="TBodynormalText"/>
              <w:rPr>
                <w:lang w:val="en-US"/>
              </w:rPr>
            </w:pPr>
            <w:r w:rsidRPr="009512A7">
              <w:rPr>
                <w:lang w:val="en-US"/>
              </w:rPr>
              <w:t>Income after taxes, discontinued operations</w:t>
            </w:r>
          </w:p>
        </w:tc>
        <w:tc>
          <w:tcPr>
            <w:tcW w:w="119" w:type="dxa"/>
            <w:vAlign w:val="bottom"/>
          </w:tcPr>
          <w:p w14:paraId="51A1C224" w14:textId="77777777" w:rsidR="00BC5817" w:rsidRPr="009512A7" w:rsidRDefault="00BC5817" w:rsidP="00D300B1">
            <w:pPr>
              <w:pStyle w:val="TBodynormalNumber"/>
              <w:keepNext/>
              <w:rPr>
                <w:lang w:val="en-US"/>
              </w:rPr>
            </w:pPr>
          </w:p>
        </w:tc>
        <w:tc>
          <w:tcPr>
            <w:tcW w:w="1021" w:type="dxa"/>
            <w:tcBorders>
              <w:top w:val="single" w:sz="4" w:space="0" w:color="000000"/>
              <w:bottom w:val="single" w:sz="4" w:space="0" w:color="A59C94"/>
            </w:tcBorders>
            <w:vAlign w:val="bottom"/>
          </w:tcPr>
          <w:p w14:paraId="45A1B219" w14:textId="77777777" w:rsidR="00BC5817" w:rsidRDefault="00BC5817" w:rsidP="00D300B1">
            <w:pPr>
              <w:pStyle w:val="TBodynormalNumber"/>
              <w:keepNext/>
            </w:pPr>
            <w:r>
              <w:t>-6</w:t>
            </w:r>
          </w:p>
        </w:tc>
        <w:tc>
          <w:tcPr>
            <w:tcW w:w="119" w:type="dxa"/>
            <w:vAlign w:val="bottom"/>
          </w:tcPr>
          <w:p w14:paraId="673A4CCF" w14:textId="77777777" w:rsidR="00BC5817" w:rsidRDefault="00BC5817"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42A19856" w14:textId="77777777" w:rsidR="00BC5817" w:rsidRDefault="00BC5817" w:rsidP="00D300B1">
            <w:pPr>
              <w:pStyle w:val="TBodynormalNumber"/>
              <w:keepNext/>
            </w:pPr>
            <w:r>
              <w:t>-7</w:t>
            </w:r>
          </w:p>
        </w:tc>
        <w:tc>
          <w:tcPr>
            <w:tcW w:w="119" w:type="dxa"/>
            <w:vAlign w:val="bottom"/>
          </w:tcPr>
          <w:p w14:paraId="4C5DEDBD" w14:textId="77777777" w:rsidR="00BC5817" w:rsidRDefault="00BC5817" w:rsidP="00D300B1">
            <w:pPr>
              <w:pStyle w:val="TBodynormalNumber"/>
              <w:keepNext/>
            </w:pPr>
          </w:p>
        </w:tc>
        <w:tc>
          <w:tcPr>
            <w:tcW w:w="1021" w:type="dxa"/>
            <w:tcBorders>
              <w:top w:val="single" w:sz="4" w:space="0" w:color="000000"/>
              <w:bottom w:val="single" w:sz="4" w:space="0" w:color="A59C94"/>
            </w:tcBorders>
            <w:vAlign w:val="bottom"/>
          </w:tcPr>
          <w:p w14:paraId="4A7644F9" w14:textId="77777777" w:rsidR="00BC5817" w:rsidRDefault="00BC5817" w:rsidP="00D300B1">
            <w:pPr>
              <w:pStyle w:val="TBodynormalNumber"/>
              <w:keepNext/>
            </w:pPr>
          </w:p>
        </w:tc>
      </w:tr>
      <w:tr w:rsidR="00BC5817" w14:paraId="2D05EFC1" w14:textId="77777777" w:rsidTr="00D300B1">
        <w:tc>
          <w:tcPr>
            <w:tcW w:w="6333" w:type="dxa"/>
            <w:tcBorders>
              <w:top w:val="single" w:sz="4" w:space="0" w:color="A59C94"/>
              <w:bottom w:val="single" w:sz="4" w:space="0" w:color="000000"/>
            </w:tcBorders>
            <w:vAlign w:val="bottom"/>
          </w:tcPr>
          <w:p w14:paraId="7493B923" w14:textId="77777777" w:rsidR="00BC5817" w:rsidRDefault="00BC5817" w:rsidP="00D300B1">
            <w:pPr>
              <w:pStyle w:val="TBodysubtotalText"/>
              <w:keepNext/>
            </w:pPr>
            <w:r>
              <w:t xml:space="preserve">Income after </w:t>
            </w:r>
            <w:proofErr w:type="spellStart"/>
            <w:r>
              <w:t>taxes</w:t>
            </w:r>
            <w:proofErr w:type="spellEnd"/>
          </w:p>
        </w:tc>
        <w:tc>
          <w:tcPr>
            <w:tcW w:w="119" w:type="dxa"/>
            <w:vAlign w:val="bottom"/>
          </w:tcPr>
          <w:p w14:paraId="623265AE"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4273A8B1" w14:textId="77777777" w:rsidR="00BC5817" w:rsidRDefault="00BC5817" w:rsidP="00D300B1">
            <w:pPr>
              <w:pStyle w:val="TBodysubtotalNumber"/>
              <w:keepNext/>
            </w:pPr>
            <w:r>
              <w:t>134</w:t>
            </w:r>
          </w:p>
        </w:tc>
        <w:tc>
          <w:tcPr>
            <w:tcW w:w="119" w:type="dxa"/>
            <w:vAlign w:val="bottom"/>
          </w:tcPr>
          <w:p w14:paraId="6A1B5807" w14:textId="77777777" w:rsidR="00BC5817" w:rsidRDefault="00BC5817" w:rsidP="00D300B1">
            <w:pPr>
              <w:pStyle w:val="TBodysubtotalNumber"/>
              <w:keepNext/>
            </w:pPr>
          </w:p>
        </w:tc>
        <w:tc>
          <w:tcPr>
            <w:tcW w:w="1021" w:type="dxa"/>
            <w:tcBorders>
              <w:top w:val="single" w:sz="4" w:space="0" w:color="A59C94"/>
              <w:bottom w:val="single" w:sz="4" w:space="0" w:color="000000"/>
            </w:tcBorders>
            <w:shd w:val="clear" w:color="000000" w:fill="DAD5C9"/>
            <w:vAlign w:val="bottom"/>
          </w:tcPr>
          <w:p w14:paraId="360CFA8E" w14:textId="77777777" w:rsidR="00BC5817" w:rsidRDefault="00BC5817" w:rsidP="00D300B1">
            <w:pPr>
              <w:pStyle w:val="TBodysubtotalNumber"/>
              <w:keepNext/>
            </w:pPr>
            <w:r>
              <w:t>192</w:t>
            </w:r>
          </w:p>
        </w:tc>
        <w:tc>
          <w:tcPr>
            <w:tcW w:w="119" w:type="dxa"/>
            <w:vAlign w:val="bottom"/>
          </w:tcPr>
          <w:p w14:paraId="2AF4F6A6"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12A708B6" w14:textId="77777777" w:rsidR="00BC5817" w:rsidRDefault="00BC5817" w:rsidP="00D300B1">
            <w:pPr>
              <w:pStyle w:val="TBodysubtotalNumber"/>
              <w:keepNext/>
            </w:pPr>
            <w:r>
              <w:t>43</w:t>
            </w:r>
          </w:p>
        </w:tc>
      </w:tr>
      <w:tr w:rsidR="00BC5817" w14:paraId="07838CD0" w14:textId="77777777" w:rsidTr="00D300B1">
        <w:trPr>
          <w:trHeight w:val="340"/>
        </w:trPr>
        <w:tc>
          <w:tcPr>
            <w:tcW w:w="6333" w:type="dxa"/>
            <w:tcBorders>
              <w:top w:val="single" w:sz="4" w:space="0" w:color="000000"/>
              <w:bottom w:val="single" w:sz="4" w:space="0" w:color="A59C94"/>
            </w:tcBorders>
            <w:vAlign w:val="bottom"/>
          </w:tcPr>
          <w:p w14:paraId="57CB9D72" w14:textId="77777777" w:rsidR="00BC5817" w:rsidRPr="009512A7" w:rsidRDefault="00BC5817" w:rsidP="00D300B1">
            <w:pPr>
              <w:pStyle w:val="TBodynormalText"/>
              <w:rPr>
                <w:lang w:val="en-US"/>
              </w:rPr>
            </w:pPr>
            <w:r w:rsidRPr="009512A7">
              <w:rPr>
                <w:lang w:val="en-US"/>
              </w:rPr>
              <w:t>thereof attributable to non-controlling interests</w:t>
            </w:r>
          </w:p>
        </w:tc>
        <w:tc>
          <w:tcPr>
            <w:tcW w:w="119" w:type="dxa"/>
            <w:vAlign w:val="bottom"/>
          </w:tcPr>
          <w:p w14:paraId="3964128E" w14:textId="77777777" w:rsidR="00BC5817" w:rsidRPr="009512A7" w:rsidRDefault="00BC5817" w:rsidP="00D300B1">
            <w:pPr>
              <w:pStyle w:val="TBodynormalNumber"/>
              <w:keepNext/>
              <w:rPr>
                <w:lang w:val="en-US"/>
              </w:rPr>
            </w:pPr>
          </w:p>
        </w:tc>
        <w:tc>
          <w:tcPr>
            <w:tcW w:w="1021" w:type="dxa"/>
            <w:tcBorders>
              <w:top w:val="single" w:sz="4" w:space="0" w:color="000000"/>
              <w:bottom w:val="single" w:sz="4" w:space="0" w:color="A59C94"/>
            </w:tcBorders>
            <w:vAlign w:val="bottom"/>
          </w:tcPr>
          <w:p w14:paraId="4F2899E4" w14:textId="77777777" w:rsidR="00BC5817" w:rsidRDefault="00BC5817" w:rsidP="00D300B1">
            <w:pPr>
              <w:pStyle w:val="TBodynormalNumber"/>
              <w:keepNext/>
            </w:pPr>
            <w:r>
              <w:t>4</w:t>
            </w:r>
          </w:p>
        </w:tc>
        <w:tc>
          <w:tcPr>
            <w:tcW w:w="119" w:type="dxa"/>
            <w:vAlign w:val="bottom"/>
          </w:tcPr>
          <w:p w14:paraId="63A4A488" w14:textId="77777777" w:rsidR="00BC5817" w:rsidRDefault="00BC5817" w:rsidP="00D300B1">
            <w:pPr>
              <w:pStyle w:val="TBodynormalNumber"/>
              <w:keepNext/>
            </w:pPr>
          </w:p>
        </w:tc>
        <w:tc>
          <w:tcPr>
            <w:tcW w:w="1021" w:type="dxa"/>
            <w:tcBorders>
              <w:top w:val="single" w:sz="4" w:space="0" w:color="000000"/>
              <w:bottom w:val="single" w:sz="4" w:space="0" w:color="A59C94"/>
            </w:tcBorders>
            <w:shd w:val="clear" w:color="000000" w:fill="DAD5C9"/>
            <w:vAlign w:val="bottom"/>
          </w:tcPr>
          <w:p w14:paraId="3E48D40B" w14:textId="77777777" w:rsidR="00BC5817" w:rsidRDefault="00BC5817" w:rsidP="00D300B1">
            <w:pPr>
              <w:pStyle w:val="TBodynormalNumber"/>
              <w:keepNext/>
            </w:pPr>
            <w:r>
              <w:t>6</w:t>
            </w:r>
          </w:p>
        </w:tc>
        <w:tc>
          <w:tcPr>
            <w:tcW w:w="119" w:type="dxa"/>
            <w:vAlign w:val="bottom"/>
          </w:tcPr>
          <w:p w14:paraId="0AFB6D49" w14:textId="77777777" w:rsidR="00BC5817" w:rsidRDefault="00BC5817" w:rsidP="00D300B1">
            <w:pPr>
              <w:pStyle w:val="TBodynormalNumber"/>
              <w:keepNext/>
            </w:pPr>
          </w:p>
        </w:tc>
        <w:tc>
          <w:tcPr>
            <w:tcW w:w="1021" w:type="dxa"/>
            <w:tcBorders>
              <w:top w:val="single" w:sz="4" w:space="0" w:color="000000"/>
              <w:bottom w:val="single" w:sz="4" w:space="0" w:color="A59C94"/>
            </w:tcBorders>
            <w:vAlign w:val="bottom"/>
          </w:tcPr>
          <w:p w14:paraId="6A9C4157" w14:textId="77777777" w:rsidR="00BC5817" w:rsidRDefault="00BC5817" w:rsidP="00D300B1">
            <w:pPr>
              <w:pStyle w:val="TBodynormalNumber"/>
              <w:keepNext/>
            </w:pPr>
          </w:p>
        </w:tc>
      </w:tr>
      <w:tr w:rsidR="00BC5817" w14:paraId="4C41B021" w14:textId="77777777" w:rsidTr="00D300B1">
        <w:tc>
          <w:tcPr>
            <w:tcW w:w="6333" w:type="dxa"/>
            <w:tcBorders>
              <w:top w:val="single" w:sz="4" w:space="0" w:color="A59C94"/>
              <w:bottom w:val="single" w:sz="4" w:space="0" w:color="000000"/>
            </w:tcBorders>
            <w:vAlign w:val="bottom"/>
          </w:tcPr>
          <w:p w14:paraId="5CBDB1BF" w14:textId="77777777" w:rsidR="00BC5817" w:rsidRDefault="00BC5817" w:rsidP="00D300B1">
            <w:pPr>
              <w:pStyle w:val="TBodysubtotalText"/>
              <w:keepNext/>
            </w:pPr>
            <w:r>
              <w:t>Net Income</w:t>
            </w:r>
          </w:p>
        </w:tc>
        <w:tc>
          <w:tcPr>
            <w:tcW w:w="119" w:type="dxa"/>
            <w:vAlign w:val="bottom"/>
          </w:tcPr>
          <w:p w14:paraId="7458D057"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0E3D7F49" w14:textId="77777777" w:rsidR="00BC5817" w:rsidRDefault="00BC5817" w:rsidP="00D300B1">
            <w:pPr>
              <w:pStyle w:val="TBodysubtotalNumber"/>
              <w:keepNext/>
            </w:pPr>
            <w:r>
              <w:t>130</w:t>
            </w:r>
          </w:p>
        </w:tc>
        <w:tc>
          <w:tcPr>
            <w:tcW w:w="119" w:type="dxa"/>
            <w:vAlign w:val="bottom"/>
          </w:tcPr>
          <w:p w14:paraId="6848D9BA" w14:textId="77777777" w:rsidR="00BC5817" w:rsidRDefault="00BC5817" w:rsidP="00D300B1">
            <w:pPr>
              <w:pStyle w:val="TBodysubtotalNumber"/>
              <w:keepNext/>
            </w:pPr>
          </w:p>
        </w:tc>
        <w:tc>
          <w:tcPr>
            <w:tcW w:w="1021" w:type="dxa"/>
            <w:tcBorders>
              <w:top w:val="single" w:sz="4" w:space="0" w:color="A59C94"/>
              <w:bottom w:val="single" w:sz="4" w:space="0" w:color="000000"/>
            </w:tcBorders>
            <w:shd w:val="clear" w:color="000000" w:fill="DAD5C9"/>
            <w:vAlign w:val="bottom"/>
          </w:tcPr>
          <w:p w14:paraId="4DD595FA" w14:textId="77777777" w:rsidR="00BC5817" w:rsidRDefault="00BC5817" w:rsidP="00D300B1">
            <w:pPr>
              <w:pStyle w:val="TBodysubtotalNumber"/>
              <w:keepNext/>
            </w:pPr>
            <w:r>
              <w:t>186</w:t>
            </w:r>
          </w:p>
        </w:tc>
        <w:tc>
          <w:tcPr>
            <w:tcW w:w="119" w:type="dxa"/>
            <w:vAlign w:val="bottom"/>
          </w:tcPr>
          <w:p w14:paraId="15E776C2" w14:textId="77777777" w:rsidR="00BC5817" w:rsidRDefault="00BC5817" w:rsidP="00D300B1">
            <w:pPr>
              <w:pStyle w:val="TBodysubtotalNumber"/>
              <w:keepNext/>
            </w:pPr>
          </w:p>
        </w:tc>
        <w:tc>
          <w:tcPr>
            <w:tcW w:w="1021" w:type="dxa"/>
            <w:tcBorders>
              <w:top w:val="single" w:sz="4" w:space="0" w:color="A59C94"/>
              <w:bottom w:val="single" w:sz="4" w:space="0" w:color="000000"/>
            </w:tcBorders>
            <w:vAlign w:val="bottom"/>
          </w:tcPr>
          <w:p w14:paraId="6BC3A945" w14:textId="77777777" w:rsidR="00BC5817" w:rsidRDefault="00BC5817" w:rsidP="00D300B1">
            <w:pPr>
              <w:pStyle w:val="TBodysubtotalNumber"/>
              <w:keepNext/>
            </w:pPr>
            <w:r>
              <w:t>43</w:t>
            </w:r>
          </w:p>
        </w:tc>
      </w:tr>
      <w:tr w:rsidR="00BC5817" w14:paraId="101E05A5" w14:textId="77777777" w:rsidTr="00D300B1">
        <w:trPr>
          <w:trHeight w:val="340"/>
        </w:trPr>
        <w:tc>
          <w:tcPr>
            <w:tcW w:w="6333" w:type="dxa"/>
            <w:tcBorders>
              <w:top w:val="single" w:sz="4" w:space="0" w:color="000000"/>
              <w:bottom w:val="single" w:sz="16" w:space="0" w:color="991D85"/>
            </w:tcBorders>
            <w:vAlign w:val="bottom"/>
          </w:tcPr>
          <w:p w14:paraId="0F0EC9C4" w14:textId="77777777" w:rsidR="00BC5817" w:rsidRDefault="00BC5817" w:rsidP="00D300B1">
            <w:pPr>
              <w:pStyle w:val="TBodynormalText"/>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19" w:type="dxa"/>
            <w:tcBorders>
              <w:bottom w:val="single" w:sz="16" w:space="0" w:color="991D85"/>
            </w:tcBorders>
            <w:vAlign w:val="bottom"/>
          </w:tcPr>
          <w:p w14:paraId="455F2DA2" w14:textId="77777777" w:rsidR="00BC5817" w:rsidRDefault="00BC5817" w:rsidP="00D300B1">
            <w:pPr>
              <w:pStyle w:val="TBodynormalNumber"/>
              <w:keepNext/>
            </w:pPr>
          </w:p>
        </w:tc>
        <w:tc>
          <w:tcPr>
            <w:tcW w:w="1021" w:type="dxa"/>
            <w:tcBorders>
              <w:top w:val="single" w:sz="4" w:space="0" w:color="000000"/>
              <w:bottom w:val="single" w:sz="16" w:space="0" w:color="991D85"/>
            </w:tcBorders>
            <w:vAlign w:val="bottom"/>
          </w:tcPr>
          <w:p w14:paraId="6F6679FD" w14:textId="77777777" w:rsidR="00BC5817" w:rsidRDefault="00BC5817" w:rsidP="00D300B1">
            <w:pPr>
              <w:pStyle w:val="TBodynormalNumber"/>
              <w:keepNext/>
            </w:pPr>
            <w:r>
              <w:rPr>
                <w:b/>
              </w:rPr>
              <w:t>181</w:t>
            </w:r>
          </w:p>
        </w:tc>
        <w:tc>
          <w:tcPr>
            <w:tcW w:w="119" w:type="dxa"/>
            <w:tcBorders>
              <w:bottom w:val="single" w:sz="16" w:space="0" w:color="991D85"/>
            </w:tcBorders>
            <w:vAlign w:val="bottom"/>
          </w:tcPr>
          <w:p w14:paraId="4962CC75" w14:textId="77777777" w:rsidR="00BC5817" w:rsidRDefault="00BC5817" w:rsidP="00D300B1">
            <w:pPr>
              <w:pStyle w:val="TBodynormalNumber"/>
              <w:keepNext/>
            </w:pPr>
          </w:p>
        </w:tc>
        <w:tc>
          <w:tcPr>
            <w:tcW w:w="1021" w:type="dxa"/>
            <w:tcBorders>
              <w:top w:val="single" w:sz="4" w:space="0" w:color="000000"/>
              <w:bottom w:val="single" w:sz="16" w:space="0" w:color="991D85"/>
            </w:tcBorders>
            <w:shd w:val="clear" w:color="000000" w:fill="DAD5C9"/>
            <w:vAlign w:val="bottom"/>
          </w:tcPr>
          <w:p w14:paraId="6E4A6D8E" w14:textId="77777777" w:rsidR="00BC5817" w:rsidRDefault="00BC5817" w:rsidP="00D300B1">
            <w:pPr>
              <w:pStyle w:val="TBodynormalNumber"/>
              <w:keepNext/>
            </w:pPr>
            <w:r>
              <w:rPr>
                <w:b/>
              </w:rPr>
              <w:t>239</w:t>
            </w:r>
          </w:p>
        </w:tc>
        <w:tc>
          <w:tcPr>
            <w:tcW w:w="119" w:type="dxa"/>
            <w:tcBorders>
              <w:bottom w:val="single" w:sz="16" w:space="0" w:color="991D85"/>
            </w:tcBorders>
            <w:vAlign w:val="bottom"/>
          </w:tcPr>
          <w:p w14:paraId="3859E49C" w14:textId="77777777" w:rsidR="00BC5817" w:rsidRDefault="00BC5817" w:rsidP="00D300B1">
            <w:pPr>
              <w:pStyle w:val="TBodynormalNumber"/>
              <w:keepNext/>
            </w:pPr>
          </w:p>
        </w:tc>
        <w:tc>
          <w:tcPr>
            <w:tcW w:w="1021" w:type="dxa"/>
            <w:tcBorders>
              <w:top w:val="single" w:sz="4" w:space="0" w:color="000000"/>
              <w:bottom w:val="single" w:sz="16" w:space="0" w:color="991D85"/>
            </w:tcBorders>
            <w:vAlign w:val="bottom"/>
          </w:tcPr>
          <w:p w14:paraId="6BA4109B" w14:textId="77777777" w:rsidR="00BC5817" w:rsidRDefault="00BC5817" w:rsidP="00D300B1">
            <w:pPr>
              <w:pStyle w:val="TBodynormalNumber"/>
              <w:keepNext/>
            </w:pPr>
            <w:r>
              <w:rPr>
                <w:b/>
              </w:rPr>
              <w:t>32</w:t>
            </w:r>
          </w:p>
        </w:tc>
      </w:tr>
      <w:bookmarkEnd w:id="2"/>
    </w:tbl>
    <w:p w14:paraId="6ACB3DD1" w14:textId="77777777" w:rsidR="00BC5817" w:rsidRDefault="00BC5817" w:rsidP="00BC5817">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BC5817" w14:paraId="731F3EE8" w14:textId="77777777" w:rsidTr="00D300B1">
        <w:tc>
          <w:tcPr>
            <w:tcW w:w="9754" w:type="dxa"/>
            <w:gridSpan w:val="13"/>
            <w:noWrap/>
            <w:vAlign w:val="bottom"/>
          </w:tcPr>
          <w:p w14:paraId="120F6195" w14:textId="77777777" w:rsidR="00BC5817" w:rsidRDefault="00BC5817" w:rsidP="00D300B1">
            <w:pPr>
              <w:pStyle w:val="TTitleText"/>
            </w:pPr>
            <w:bookmarkStart w:id="3" w:name="SNEID_3c00ec5e54e644f88a0a198056030d76"/>
            <w:r>
              <w:rPr>
                <w:bCs/>
              </w:rPr>
              <w:t>Division performance – 1st quarter</w:t>
            </w:r>
          </w:p>
        </w:tc>
      </w:tr>
      <w:tr w:rsidR="00BC5817" w14:paraId="10E6A5C0" w14:textId="77777777" w:rsidTr="00D300B1">
        <w:tc>
          <w:tcPr>
            <w:tcW w:w="2914" w:type="dxa"/>
            <w:tcBorders>
              <w:top w:val="single" w:sz="8" w:space="0" w:color="000000"/>
            </w:tcBorders>
            <w:noWrap/>
            <w:vAlign w:val="bottom"/>
          </w:tcPr>
          <w:p w14:paraId="10BD49D0" w14:textId="77777777" w:rsidR="00BC5817" w:rsidRDefault="00BC5817" w:rsidP="00D300B1">
            <w:pPr>
              <w:pStyle w:val="TDummy"/>
              <w:keepNext/>
            </w:pPr>
            <w:r>
              <w:rPr>
                <w:b/>
                <w:bCs/>
              </w:rPr>
              <w:t> </w:t>
            </w:r>
          </w:p>
        </w:tc>
        <w:tc>
          <w:tcPr>
            <w:tcW w:w="119" w:type="dxa"/>
            <w:tcBorders>
              <w:top w:val="single" w:sz="8" w:space="0" w:color="000000"/>
            </w:tcBorders>
            <w:noWrap/>
            <w:vAlign w:val="bottom"/>
          </w:tcPr>
          <w:p w14:paraId="48C56A08" w14:textId="77777777" w:rsidR="00BC5817" w:rsidRDefault="00BC5817" w:rsidP="00D300B1">
            <w:pPr>
              <w:pStyle w:val="TDummy"/>
              <w:keepNext/>
            </w:pPr>
            <w:r>
              <w:rPr>
                <w:b/>
                <w:bCs/>
              </w:rPr>
              <w:t> </w:t>
            </w:r>
          </w:p>
        </w:tc>
        <w:tc>
          <w:tcPr>
            <w:tcW w:w="1021" w:type="dxa"/>
            <w:tcBorders>
              <w:top w:val="single" w:sz="8" w:space="0" w:color="000000"/>
            </w:tcBorders>
            <w:noWrap/>
            <w:vAlign w:val="bottom"/>
          </w:tcPr>
          <w:p w14:paraId="58819AF5" w14:textId="77777777" w:rsidR="00BC5817" w:rsidRDefault="00BC5817" w:rsidP="00D300B1">
            <w:pPr>
              <w:pStyle w:val="TDummy"/>
              <w:keepNext/>
            </w:pPr>
            <w:r>
              <w:t> </w:t>
            </w:r>
          </w:p>
        </w:tc>
        <w:tc>
          <w:tcPr>
            <w:tcW w:w="119" w:type="dxa"/>
            <w:tcBorders>
              <w:top w:val="single" w:sz="8" w:space="0" w:color="000000"/>
            </w:tcBorders>
            <w:noWrap/>
            <w:vAlign w:val="bottom"/>
          </w:tcPr>
          <w:p w14:paraId="7F2291FA" w14:textId="77777777" w:rsidR="00BC5817" w:rsidRDefault="00BC5817" w:rsidP="00D300B1">
            <w:pPr>
              <w:pStyle w:val="TDummy"/>
              <w:keepNext/>
            </w:pPr>
            <w:r>
              <w:t> </w:t>
            </w:r>
          </w:p>
        </w:tc>
        <w:tc>
          <w:tcPr>
            <w:tcW w:w="1021" w:type="dxa"/>
            <w:tcBorders>
              <w:top w:val="single" w:sz="8" w:space="0" w:color="000000"/>
            </w:tcBorders>
            <w:noWrap/>
            <w:vAlign w:val="bottom"/>
          </w:tcPr>
          <w:p w14:paraId="6C471004" w14:textId="77777777" w:rsidR="00BC5817" w:rsidRDefault="00BC5817" w:rsidP="00D300B1">
            <w:pPr>
              <w:pStyle w:val="TDummy"/>
              <w:keepNext/>
            </w:pPr>
            <w:r>
              <w:t> </w:t>
            </w:r>
          </w:p>
        </w:tc>
        <w:tc>
          <w:tcPr>
            <w:tcW w:w="119" w:type="dxa"/>
            <w:tcBorders>
              <w:top w:val="single" w:sz="8" w:space="0" w:color="000000"/>
            </w:tcBorders>
            <w:noWrap/>
            <w:vAlign w:val="bottom"/>
          </w:tcPr>
          <w:p w14:paraId="7D3E4E61" w14:textId="77777777" w:rsidR="00BC5817" w:rsidRDefault="00BC5817" w:rsidP="00D300B1">
            <w:pPr>
              <w:pStyle w:val="TDummy"/>
              <w:keepNext/>
            </w:pPr>
            <w:r>
              <w:t> </w:t>
            </w:r>
          </w:p>
        </w:tc>
        <w:tc>
          <w:tcPr>
            <w:tcW w:w="1021" w:type="dxa"/>
            <w:tcBorders>
              <w:top w:val="single" w:sz="8" w:space="0" w:color="000000"/>
            </w:tcBorders>
            <w:noWrap/>
            <w:vAlign w:val="bottom"/>
          </w:tcPr>
          <w:p w14:paraId="5A51D2DA" w14:textId="77777777" w:rsidR="00BC5817" w:rsidRDefault="00BC5817" w:rsidP="00D300B1">
            <w:pPr>
              <w:pStyle w:val="TDummy"/>
              <w:keepNext/>
            </w:pPr>
            <w:r>
              <w:t> </w:t>
            </w:r>
          </w:p>
        </w:tc>
        <w:tc>
          <w:tcPr>
            <w:tcW w:w="119" w:type="dxa"/>
            <w:tcBorders>
              <w:top w:val="single" w:sz="8" w:space="0" w:color="000000"/>
            </w:tcBorders>
            <w:noWrap/>
            <w:vAlign w:val="bottom"/>
          </w:tcPr>
          <w:p w14:paraId="1012D987" w14:textId="77777777" w:rsidR="00BC5817" w:rsidRDefault="00BC5817" w:rsidP="00D300B1">
            <w:pPr>
              <w:pStyle w:val="TDummy"/>
              <w:keepNext/>
            </w:pPr>
            <w:r>
              <w:t> </w:t>
            </w:r>
          </w:p>
        </w:tc>
        <w:tc>
          <w:tcPr>
            <w:tcW w:w="1021" w:type="dxa"/>
            <w:tcBorders>
              <w:top w:val="single" w:sz="8" w:space="0" w:color="000000"/>
            </w:tcBorders>
            <w:noWrap/>
            <w:vAlign w:val="bottom"/>
          </w:tcPr>
          <w:p w14:paraId="3E2FCBD6" w14:textId="77777777" w:rsidR="00BC5817" w:rsidRDefault="00BC5817" w:rsidP="00D300B1">
            <w:pPr>
              <w:pStyle w:val="TDummy"/>
              <w:keepNext/>
            </w:pPr>
            <w:r>
              <w:t> </w:t>
            </w:r>
          </w:p>
        </w:tc>
        <w:tc>
          <w:tcPr>
            <w:tcW w:w="119" w:type="dxa"/>
            <w:tcBorders>
              <w:top w:val="single" w:sz="8" w:space="0" w:color="000000"/>
            </w:tcBorders>
            <w:noWrap/>
            <w:vAlign w:val="bottom"/>
          </w:tcPr>
          <w:p w14:paraId="4AABA8A2" w14:textId="77777777" w:rsidR="00BC5817" w:rsidRDefault="00BC5817" w:rsidP="00D300B1">
            <w:pPr>
              <w:pStyle w:val="TDummy"/>
              <w:keepNext/>
            </w:pPr>
            <w:r>
              <w:t> </w:t>
            </w:r>
          </w:p>
        </w:tc>
        <w:tc>
          <w:tcPr>
            <w:tcW w:w="1021" w:type="dxa"/>
            <w:tcBorders>
              <w:top w:val="single" w:sz="8" w:space="0" w:color="000000"/>
            </w:tcBorders>
            <w:noWrap/>
            <w:vAlign w:val="bottom"/>
          </w:tcPr>
          <w:p w14:paraId="36712B2A" w14:textId="77777777" w:rsidR="00BC5817" w:rsidRDefault="00BC5817" w:rsidP="00D300B1">
            <w:pPr>
              <w:pStyle w:val="TDummy"/>
              <w:keepNext/>
            </w:pPr>
            <w:r>
              <w:t> </w:t>
            </w:r>
          </w:p>
        </w:tc>
        <w:tc>
          <w:tcPr>
            <w:tcW w:w="119" w:type="dxa"/>
            <w:tcBorders>
              <w:top w:val="single" w:sz="8" w:space="0" w:color="000000"/>
            </w:tcBorders>
            <w:noWrap/>
            <w:vAlign w:val="bottom"/>
          </w:tcPr>
          <w:p w14:paraId="2E91BBB5" w14:textId="77777777" w:rsidR="00BC5817" w:rsidRDefault="00BC5817" w:rsidP="00D300B1">
            <w:pPr>
              <w:pStyle w:val="TDummy"/>
              <w:keepNext/>
            </w:pPr>
            <w:r>
              <w:t> </w:t>
            </w:r>
          </w:p>
        </w:tc>
        <w:tc>
          <w:tcPr>
            <w:tcW w:w="1021" w:type="dxa"/>
            <w:tcBorders>
              <w:top w:val="single" w:sz="8" w:space="0" w:color="000000"/>
            </w:tcBorders>
            <w:noWrap/>
            <w:vAlign w:val="bottom"/>
          </w:tcPr>
          <w:p w14:paraId="27DAD33D" w14:textId="77777777" w:rsidR="00BC5817" w:rsidRDefault="00BC5817" w:rsidP="00D300B1">
            <w:pPr>
              <w:pStyle w:val="TDummy"/>
              <w:keepNext/>
            </w:pPr>
            <w:r>
              <w:t> </w:t>
            </w:r>
          </w:p>
        </w:tc>
      </w:tr>
      <w:tr w:rsidR="00BC5817" w14:paraId="438AB6BC" w14:textId="77777777" w:rsidTr="00D300B1">
        <w:tc>
          <w:tcPr>
            <w:tcW w:w="2914" w:type="dxa"/>
            <w:shd w:val="clear" w:color="000000" w:fill="FFFFFF"/>
            <w:noWrap/>
            <w:vAlign w:val="bottom"/>
          </w:tcPr>
          <w:p w14:paraId="7B718160" w14:textId="77777777" w:rsidR="00BC5817" w:rsidRDefault="00BC5817" w:rsidP="00D300B1">
            <w:pPr>
              <w:pStyle w:val="THeadfirstNumber"/>
            </w:pPr>
            <w:bookmarkStart w:id="4" w:name="RANGE!B25:N25"/>
            <w:bookmarkStart w:id="5" w:name="RANGE!B25"/>
            <w:bookmarkEnd w:id="4"/>
            <w:r>
              <w:t> </w:t>
            </w:r>
            <w:bookmarkEnd w:id="5"/>
          </w:p>
        </w:tc>
        <w:tc>
          <w:tcPr>
            <w:tcW w:w="119" w:type="dxa"/>
            <w:noWrap/>
            <w:vAlign w:val="bottom"/>
          </w:tcPr>
          <w:p w14:paraId="4C7D3CC8" w14:textId="77777777" w:rsidR="00BC5817" w:rsidRDefault="00BC5817" w:rsidP="00D300B1">
            <w:pPr>
              <w:pStyle w:val="THeadfirstNumber"/>
            </w:pPr>
            <w:r>
              <w:t> </w:t>
            </w:r>
          </w:p>
        </w:tc>
        <w:tc>
          <w:tcPr>
            <w:tcW w:w="3301" w:type="dxa"/>
            <w:gridSpan w:val="5"/>
            <w:tcBorders>
              <w:bottom w:val="single" w:sz="4" w:space="0" w:color="A59C94"/>
            </w:tcBorders>
            <w:shd w:val="clear" w:color="000000" w:fill="FFFFFF"/>
            <w:vAlign w:val="bottom"/>
          </w:tcPr>
          <w:p w14:paraId="7B9196B3" w14:textId="77777777" w:rsidR="00BC5817" w:rsidRDefault="00BC5817" w:rsidP="00D300B1">
            <w:pPr>
              <w:pStyle w:val="THeadfirstNumber"/>
            </w:pPr>
            <w:r>
              <w:t>Sales</w:t>
            </w:r>
          </w:p>
        </w:tc>
        <w:tc>
          <w:tcPr>
            <w:tcW w:w="119" w:type="dxa"/>
            <w:vAlign w:val="bottom"/>
          </w:tcPr>
          <w:p w14:paraId="1B4F4D43" w14:textId="77777777" w:rsidR="00BC5817" w:rsidRDefault="00BC5817" w:rsidP="00D300B1">
            <w:pPr>
              <w:pStyle w:val="THeadfirstNumber"/>
            </w:pPr>
            <w:r>
              <w:t> </w:t>
            </w:r>
          </w:p>
        </w:tc>
        <w:tc>
          <w:tcPr>
            <w:tcW w:w="3301" w:type="dxa"/>
            <w:gridSpan w:val="5"/>
            <w:tcBorders>
              <w:bottom w:val="single" w:sz="4" w:space="0" w:color="A59C94"/>
            </w:tcBorders>
            <w:shd w:val="clear" w:color="000000" w:fill="FFFFFF"/>
            <w:vAlign w:val="bottom"/>
          </w:tcPr>
          <w:p w14:paraId="4C53BD1C" w14:textId="77777777" w:rsidR="00BC5817" w:rsidRDefault="00BC5817" w:rsidP="00D300B1">
            <w:pPr>
              <w:pStyle w:val="THeadfirstNumber"/>
            </w:pPr>
            <w:proofErr w:type="spellStart"/>
            <w:r>
              <w:t>Adjusted</w:t>
            </w:r>
            <w:proofErr w:type="spellEnd"/>
            <w:r>
              <w:t xml:space="preserve"> EBITDA </w:t>
            </w:r>
          </w:p>
        </w:tc>
      </w:tr>
      <w:tr w:rsidR="00BC5817" w14:paraId="10966F26" w14:textId="77777777" w:rsidTr="00D300B1">
        <w:tc>
          <w:tcPr>
            <w:tcW w:w="2914" w:type="dxa"/>
            <w:tcBorders>
              <w:bottom w:val="single" w:sz="4" w:space="0" w:color="000000"/>
            </w:tcBorders>
            <w:shd w:val="clear" w:color="000000" w:fill="FFFFFF"/>
            <w:noWrap/>
            <w:vAlign w:val="bottom"/>
          </w:tcPr>
          <w:p w14:paraId="3B9122CA" w14:textId="77777777" w:rsidR="00BC5817" w:rsidRDefault="00BC5817" w:rsidP="00D300B1">
            <w:pPr>
              <w:pStyle w:val="THeadlastText"/>
            </w:pPr>
            <w:bookmarkStart w:id="6" w:name="RANGE!B26:N26"/>
            <w:r>
              <w:t xml:space="preserve">in € </w:t>
            </w:r>
            <w:proofErr w:type="spellStart"/>
            <w:r>
              <w:t>million</w:t>
            </w:r>
            <w:bookmarkEnd w:id="6"/>
            <w:proofErr w:type="spellEnd"/>
          </w:p>
        </w:tc>
        <w:tc>
          <w:tcPr>
            <w:tcW w:w="119" w:type="dxa"/>
            <w:noWrap/>
            <w:vAlign w:val="bottom"/>
          </w:tcPr>
          <w:p w14:paraId="49F066B7" w14:textId="77777777" w:rsidR="00BC5817" w:rsidRDefault="00BC5817" w:rsidP="00D300B1">
            <w:pPr>
              <w:pStyle w:val="THeadlastNumber"/>
            </w:pPr>
            <w:r>
              <w:t> </w:t>
            </w:r>
          </w:p>
        </w:tc>
        <w:tc>
          <w:tcPr>
            <w:tcW w:w="1021" w:type="dxa"/>
            <w:tcBorders>
              <w:top w:val="single" w:sz="4" w:space="0" w:color="A59C94"/>
              <w:bottom w:val="single" w:sz="4" w:space="0" w:color="000000"/>
            </w:tcBorders>
            <w:shd w:val="clear" w:color="000000" w:fill="FFFFFF"/>
            <w:vAlign w:val="bottom"/>
          </w:tcPr>
          <w:p w14:paraId="26A15153" w14:textId="77777777" w:rsidR="00BC5817" w:rsidRDefault="00BC5817" w:rsidP="00D300B1">
            <w:pPr>
              <w:pStyle w:val="THeadlastNumber"/>
            </w:pPr>
            <w:r>
              <w:t>2020</w:t>
            </w:r>
          </w:p>
        </w:tc>
        <w:tc>
          <w:tcPr>
            <w:tcW w:w="119" w:type="dxa"/>
            <w:vAlign w:val="bottom"/>
          </w:tcPr>
          <w:p w14:paraId="15B9A4A3" w14:textId="77777777" w:rsidR="00BC5817" w:rsidRDefault="00BC5817" w:rsidP="00D300B1">
            <w:pPr>
              <w:pStyle w:val="THeadlastNumber"/>
            </w:pPr>
            <w:r>
              <w:t> </w:t>
            </w:r>
          </w:p>
        </w:tc>
        <w:tc>
          <w:tcPr>
            <w:tcW w:w="1021" w:type="dxa"/>
            <w:tcBorders>
              <w:top w:val="single" w:sz="4" w:space="0" w:color="A59C94"/>
              <w:bottom w:val="single" w:sz="4" w:space="0" w:color="000000"/>
            </w:tcBorders>
            <w:shd w:val="clear" w:color="000000" w:fill="FFFFFF"/>
            <w:vAlign w:val="bottom"/>
          </w:tcPr>
          <w:p w14:paraId="0DEDBFA2" w14:textId="77777777" w:rsidR="00BC5817" w:rsidRDefault="00BC5817" w:rsidP="00D300B1">
            <w:pPr>
              <w:pStyle w:val="THeadlastNumberbold"/>
            </w:pPr>
            <w:bookmarkStart w:id="7" w:name="RANGE!F26:F33"/>
            <w:r>
              <w:rPr>
                <w:bCs/>
              </w:rPr>
              <w:t>2021</w:t>
            </w:r>
            <w:bookmarkEnd w:id="7"/>
          </w:p>
        </w:tc>
        <w:tc>
          <w:tcPr>
            <w:tcW w:w="119" w:type="dxa"/>
            <w:vAlign w:val="bottom"/>
          </w:tcPr>
          <w:p w14:paraId="74DD6917" w14:textId="77777777" w:rsidR="00BC5817" w:rsidRDefault="00BC5817" w:rsidP="00D300B1">
            <w:pPr>
              <w:pStyle w:val="THeadlastNumber"/>
            </w:pPr>
            <w:r>
              <w:rPr>
                <w:b/>
                <w:bCs/>
              </w:rPr>
              <w:t> </w:t>
            </w:r>
          </w:p>
        </w:tc>
        <w:tc>
          <w:tcPr>
            <w:tcW w:w="1021" w:type="dxa"/>
            <w:tcBorders>
              <w:top w:val="single" w:sz="4" w:space="0" w:color="A59C94"/>
              <w:bottom w:val="single" w:sz="4" w:space="0" w:color="000000"/>
            </w:tcBorders>
            <w:shd w:val="clear" w:color="000000" w:fill="FFFFFF"/>
            <w:vAlign w:val="bottom"/>
          </w:tcPr>
          <w:p w14:paraId="6D157CE2" w14:textId="77777777" w:rsidR="00BC5817" w:rsidRDefault="00BC5817" w:rsidP="00D300B1">
            <w:pPr>
              <w:pStyle w:val="THeaddifferenceNumber"/>
              <w:keepNext/>
            </w:pPr>
            <w:bookmarkStart w:id="8" w:name="RANGE!H26:H33"/>
            <w:r>
              <w:t>Change in %</w:t>
            </w:r>
            <w:bookmarkEnd w:id="8"/>
          </w:p>
        </w:tc>
        <w:tc>
          <w:tcPr>
            <w:tcW w:w="119" w:type="dxa"/>
            <w:vAlign w:val="bottom"/>
          </w:tcPr>
          <w:p w14:paraId="6C64C8BC" w14:textId="77777777" w:rsidR="00BC5817" w:rsidRDefault="00BC5817" w:rsidP="00D300B1">
            <w:pPr>
              <w:pStyle w:val="THeadlastNumber"/>
            </w:pPr>
            <w:r>
              <w:t> </w:t>
            </w:r>
          </w:p>
        </w:tc>
        <w:tc>
          <w:tcPr>
            <w:tcW w:w="1021" w:type="dxa"/>
            <w:tcBorders>
              <w:top w:val="single" w:sz="4" w:space="0" w:color="A59C94"/>
              <w:bottom w:val="single" w:sz="4" w:space="0" w:color="000000"/>
            </w:tcBorders>
            <w:shd w:val="clear" w:color="000000" w:fill="FFFFFF"/>
            <w:vAlign w:val="bottom"/>
          </w:tcPr>
          <w:p w14:paraId="7175BE05" w14:textId="77777777" w:rsidR="00BC5817" w:rsidRDefault="00BC5817" w:rsidP="00D300B1">
            <w:pPr>
              <w:pStyle w:val="THeadlastNumber"/>
            </w:pPr>
            <w:r>
              <w:t>2020</w:t>
            </w:r>
          </w:p>
        </w:tc>
        <w:tc>
          <w:tcPr>
            <w:tcW w:w="119" w:type="dxa"/>
            <w:vAlign w:val="bottom"/>
          </w:tcPr>
          <w:p w14:paraId="4D07AB0B" w14:textId="77777777" w:rsidR="00BC5817" w:rsidRDefault="00BC5817" w:rsidP="00D300B1">
            <w:pPr>
              <w:pStyle w:val="THeadlastNumber"/>
            </w:pPr>
            <w:r>
              <w:t> </w:t>
            </w:r>
          </w:p>
        </w:tc>
        <w:tc>
          <w:tcPr>
            <w:tcW w:w="1021" w:type="dxa"/>
            <w:tcBorders>
              <w:top w:val="single" w:sz="4" w:space="0" w:color="A59C94"/>
              <w:bottom w:val="single" w:sz="4" w:space="0" w:color="000000"/>
            </w:tcBorders>
            <w:shd w:val="clear" w:color="000000" w:fill="FFFFFF"/>
            <w:vAlign w:val="bottom"/>
          </w:tcPr>
          <w:p w14:paraId="3A39AE1F" w14:textId="77777777" w:rsidR="00BC5817" w:rsidRDefault="00BC5817" w:rsidP="00D300B1">
            <w:pPr>
              <w:pStyle w:val="THeadlastNumberbold"/>
            </w:pPr>
            <w:bookmarkStart w:id="9" w:name="RANGE!L26:L33"/>
            <w:r>
              <w:rPr>
                <w:bCs/>
              </w:rPr>
              <w:t>2021</w:t>
            </w:r>
            <w:bookmarkEnd w:id="9"/>
          </w:p>
        </w:tc>
        <w:tc>
          <w:tcPr>
            <w:tcW w:w="119" w:type="dxa"/>
            <w:vAlign w:val="bottom"/>
          </w:tcPr>
          <w:p w14:paraId="51D9AF08" w14:textId="77777777" w:rsidR="00BC5817" w:rsidRDefault="00BC5817" w:rsidP="00D300B1">
            <w:pPr>
              <w:pStyle w:val="THeadlastNumber"/>
            </w:pPr>
            <w:r>
              <w:rPr>
                <w:b/>
                <w:bCs/>
              </w:rPr>
              <w:t> </w:t>
            </w:r>
          </w:p>
        </w:tc>
        <w:tc>
          <w:tcPr>
            <w:tcW w:w="1021" w:type="dxa"/>
            <w:tcBorders>
              <w:top w:val="single" w:sz="4" w:space="0" w:color="A59C94"/>
              <w:bottom w:val="single" w:sz="4" w:space="0" w:color="000000"/>
            </w:tcBorders>
            <w:shd w:val="clear" w:color="000000" w:fill="FFFFFF"/>
            <w:vAlign w:val="bottom"/>
          </w:tcPr>
          <w:p w14:paraId="271CA298" w14:textId="77777777" w:rsidR="00BC5817" w:rsidRDefault="00BC5817" w:rsidP="00D300B1">
            <w:pPr>
              <w:pStyle w:val="THeaddifferenceNumber"/>
              <w:keepNext/>
            </w:pPr>
            <w:bookmarkStart w:id="10" w:name="RANGE!N26:N33"/>
            <w:r>
              <w:t>Change in %</w:t>
            </w:r>
            <w:bookmarkEnd w:id="10"/>
          </w:p>
        </w:tc>
      </w:tr>
      <w:tr w:rsidR="00BC5817" w14:paraId="3156CECB" w14:textId="77777777" w:rsidTr="00D300B1">
        <w:tc>
          <w:tcPr>
            <w:tcW w:w="2914" w:type="dxa"/>
            <w:tcBorders>
              <w:top w:val="single" w:sz="4" w:space="0" w:color="000000"/>
              <w:bottom w:val="single" w:sz="4" w:space="0" w:color="A59C94"/>
            </w:tcBorders>
            <w:noWrap/>
            <w:vAlign w:val="bottom"/>
          </w:tcPr>
          <w:p w14:paraId="7632B4AE" w14:textId="77777777" w:rsidR="00BC5817" w:rsidRDefault="00BC5817" w:rsidP="00D300B1">
            <w:pPr>
              <w:pStyle w:val="TBodynormalText"/>
            </w:pPr>
            <w:r>
              <w:t>Specialty Additives</w:t>
            </w:r>
          </w:p>
        </w:tc>
        <w:tc>
          <w:tcPr>
            <w:tcW w:w="119" w:type="dxa"/>
            <w:noWrap/>
            <w:vAlign w:val="bottom"/>
          </w:tcPr>
          <w:p w14:paraId="124A7A0A"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noWrap/>
            <w:vAlign w:val="bottom"/>
          </w:tcPr>
          <w:p w14:paraId="4E388ACD" w14:textId="77777777" w:rsidR="00BC5817" w:rsidRDefault="00BC5817" w:rsidP="00D300B1">
            <w:pPr>
              <w:pStyle w:val="TBodynormalNumber"/>
              <w:keepNext/>
            </w:pPr>
            <w:r>
              <w:t>852</w:t>
            </w:r>
          </w:p>
        </w:tc>
        <w:tc>
          <w:tcPr>
            <w:tcW w:w="119" w:type="dxa"/>
            <w:noWrap/>
            <w:vAlign w:val="bottom"/>
          </w:tcPr>
          <w:p w14:paraId="6A31CB03"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13462B8D" w14:textId="77777777" w:rsidR="00BC5817" w:rsidRDefault="00BC5817" w:rsidP="00D300B1">
            <w:pPr>
              <w:pStyle w:val="TBodynormalNumber"/>
              <w:keepNext/>
            </w:pPr>
            <w:r>
              <w:t>907</w:t>
            </w:r>
          </w:p>
        </w:tc>
        <w:tc>
          <w:tcPr>
            <w:tcW w:w="119" w:type="dxa"/>
            <w:noWrap/>
            <w:vAlign w:val="bottom"/>
          </w:tcPr>
          <w:p w14:paraId="06018490"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noWrap/>
            <w:vAlign w:val="bottom"/>
          </w:tcPr>
          <w:p w14:paraId="03472E9B" w14:textId="77777777" w:rsidR="00BC5817" w:rsidRDefault="00BC5817" w:rsidP="00D300B1">
            <w:pPr>
              <w:pStyle w:val="TBodynormalNumber"/>
              <w:keepNext/>
            </w:pPr>
            <w:r>
              <w:t>6</w:t>
            </w:r>
          </w:p>
        </w:tc>
        <w:tc>
          <w:tcPr>
            <w:tcW w:w="119" w:type="dxa"/>
            <w:noWrap/>
            <w:vAlign w:val="bottom"/>
          </w:tcPr>
          <w:p w14:paraId="5CD39CD1"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noWrap/>
            <w:vAlign w:val="bottom"/>
          </w:tcPr>
          <w:p w14:paraId="3D33D3B9" w14:textId="77777777" w:rsidR="00BC5817" w:rsidRDefault="00BC5817" w:rsidP="00D300B1">
            <w:pPr>
              <w:pStyle w:val="TBodynormalNumber"/>
              <w:keepNext/>
            </w:pPr>
            <w:r>
              <w:t>239</w:t>
            </w:r>
          </w:p>
        </w:tc>
        <w:tc>
          <w:tcPr>
            <w:tcW w:w="119" w:type="dxa"/>
            <w:noWrap/>
            <w:vAlign w:val="bottom"/>
          </w:tcPr>
          <w:p w14:paraId="084E29DE"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39A8CBF7" w14:textId="77777777" w:rsidR="00BC5817" w:rsidRDefault="00BC5817" w:rsidP="00D300B1">
            <w:pPr>
              <w:pStyle w:val="TBodynormalNumber"/>
              <w:keepNext/>
            </w:pPr>
            <w:r>
              <w:t>273</w:t>
            </w:r>
          </w:p>
        </w:tc>
        <w:tc>
          <w:tcPr>
            <w:tcW w:w="119" w:type="dxa"/>
            <w:noWrap/>
            <w:vAlign w:val="bottom"/>
          </w:tcPr>
          <w:p w14:paraId="1BA5A3EA"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noWrap/>
            <w:vAlign w:val="bottom"/>
          </w:tcPr>
          <w:p w14:paraId="3C8E120A" w14:textId="77777777" w:rsidR="00BC5817" w:rsidRDefault="00BC5817" w:rsidP="00D300B1">
            <w:pPr>
              <w:pStyle w:val="TBodynormalNumber"/>
              <w:keepNext/>
            </w:pPr>
            <w:r>
              <w:t>14</w:t>
            </w:r>
          </w:p>
        </w:tc>
      </w:tr>
      <w:tr w:rsidR="00BC5817" w14:paraId="55E67A12" w14:textId="77777777" w:rsidTr="00D300B1">
        <w:tc>
          <w:tcPr>
            <w:tcW w:w="2914" w:type="dxa"/>
            <w:tcBorders>
              <w:top w:val="single" w:sz="4" w:space="0" w:color="A59C94"/>
              <w:bottom w:val="single" w:sz="4" w:space="0" w:color="A59C94"/>
            </w:tcBorders>
            <w:noWrap/>
            <w:vAlign w:val="bottom"/>
          </w:tcPr>
          <w:p w14:paraId="6A480E52" w14:textId="77777777" w:rsidR="00BC5817" w:rsidRDefault="00BC5817" w:rsidP="00D300B1">
            <w:pPr>
              <w:pStyle w:val="TBodynormalText"/>
            </w:pPr>
            <w:r>
              <w:t>Nutrition &amp; Care</w:t>
            </w:r>
          </w:p>
        </w:tc>
        <w:tc>
          <w:tcPr>
            <w:tcW w:w="119" w:type="dxa"/>
            <w:noWrap/>
            <w:vAlign w:val="bottom"/>
          </w:tcPr>
          <w:p w14:paraId="695A520D"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490ABD00" w14:textId="77777777" w:rsidR="00BC5817" w:rsidRDefault="00BC5817" w:rsidP="00D300B1">
            <w:pPr>
              <w:pStyle w:val="TBodynormalNumber"/>
              <w:keepNext/>
            </w:pPr>
            <w:r>
              <w:t>748</w:t>
            </w:r>
          </w:p>
        </w:tc>
        <w:tc>
          <w:tcPr>
            <w:tcW w:w="119" w:type="dxa"/>
            <w:noWrap/>
            <w:vAlign w:val="bottom"/>
          </w:tcPr>
          <w:p w14:paraId="3C0181A4"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20D745D9" w14:textId="77777777" w:rsidR="00BC5817" w:rsidRDefault="00BC5817" w:rsidP="00D300B1">
            <w:pPr>
              <w:pStyle w:val="TBodynormalNumber"/>
              <w:keepNext/>
            </w:pPr>
            <w:r>
              <w:t>780</w:t>
            </w:r>
          </w:p>
        </w:tc>
        <w:tc>
          <w:tcPr>
            <w:tcW w:w="119" w:type="dxa"/>
            <w:noWrap/>
            <w:vAlign w:val="bottom"/>
          </w:tcPr>
          <w:p w14:paraId="7D9F646E"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66DCBE8E" w14:textId="77777777" w:rsidR="00BC5817" w:rsidRDefault="00BC5817" w:rsidP="00D300B1">
            <w:pPr>
              <w:pStyle w:val="TBodynormalNumber"/>
              <w:keepNext/>
            </w:pPr>
            <w:r>
              <w:t>4</w:t>
            </w:r>
          </w:p>
        </w:tc>
        <w:tc>
          <w:tcPr>
            <w:tcW w:w="119" w:type="dxa"/>
            <w:noWrap/>
            <w:vAlign w:val="bottom"/>
          </w:tcPr>
          <w:p w14:paraId="3D872B52"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0595CB8C" w14:textId="77777777" w:rsidR="00BC5817" w:rsidRDefault="00BC5817" w:rsidP="00D300B1">
            <w:pPr>
              <w:pStyle w:val="TBodynormalNumber"/>
              <w:keepNext/>
            </w:pPr>
            <w:r>
              <w:t>118</w:t>
            </w:r>
          </w:p>
        </w:tc>
        <w:tc>
          <w:tcPr>
            <w:tcW w:w="119" w:type="dxa"/>
            <w:noWrap/>
            <w:vAlign w:val="bottom"/>
          </w:tcPr>
          <w:p w14:paraId="5EAE7CC5"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66F57345" w14:textId="77777777" w:rsidR="00BC5817" w:rsidRDefault="00BC5817" w:rsidP="00D300B1">
            <w:pPr>
              <w:pStyle w:val="TBodynormalNumber"/>
              <w:keepNext/>
            </w:pPr>
            <w:r>
              <w:t>143</w:t>
            </w:r>
          </w:p>
        </w:tc>
        <w:tc>
          <w:tcPr>
            <w:tcW w:w="119" w:type="dxa"/>
            <w:noWrap/>
            <w:vAlign w:val="bottom"/>
          </w:tcPr>
          <w:p w14:paraId="715418DF"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424B180D" w14:textId="77777777" w:rsidR="00BC5817" w:rsidRDefault="00BC5817" w:rsidP="00D300B1">
            <w:pPr>
              <w:pStyle w:val="TBodynormalNumber"/>
              <w:keepNext/>
            </w:pPr>
            <w:r>
              <w:t>21</w:t>
            </w:r>
          </w:p>
        </w:tc>
      </w:tr>
      <w:tr w:rsidR="00BC5817" w14:paraId="4CEF1369" w14:textId="77777777" w:rsidTr="00D300B1">
        <w:tc>
          <w:tcPr>
            <w:tcW w:w="2914" w:type="dxa"/>
            <w:tcBorders>
              <w:top w:val="single" w:sz="4" w:space="0" w:color="A59C94"/>
              <w:bottom w:val="single" w:sz="4" w:space="0" w:color="A59C94"/>
            </w:tcBorders>
            <w:noWrap/>
            <w:vAlign w:val="bottom"/>
          </w:tcPr>
          <w:p w14:paraId="05E5EC18" w14:textId="77777777" w:rsidR="00BC5817" w:rsidRDefault="00BC5817" w:rsidP="00D300B1">
            <w:pPr>
              <w:pStyle w:val="TBodynormalText"/>
            </w:pPr>
            <w:r>
              <w:t>Smart Materials</w:t>
            </w:r>
          </w:p>
        </w:tc>
        <w:tc>
          <w:tcPr>
            <w:tcW w:w="119" w:type="dxa"/>
            <w:noWrap/>
            <w:vAlign w:val="bottom"/>
          </w:tcPr>
          <w:p w14:paraId="609F093E"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50327606" w14:textId="77777777" w:rsidR="00BC5817" w:rsidRDefault="00BC5817" w:rsidP="00D300B1">
            <w:pPr>
              <w:pStyle w:val="TBodynormalNumber"/>
              <w:keepNext/>
            </w:pPr>
            <w:r>
              <w:t>858</w:t>
            </w:r>
          </w:p>
        </w:tc>
        <w:tc>
          <w:tcPr>
            <w:tcW w:w="119" w:type="dxa"/>
            <w:noWrap/>
            <w:vAlign w:val="bottom"/>
          </w:tcPr>
          <w:p w14:paraId="3AE6B09A"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3F11D76A" w14:textId="77777777" w:rsidR="00BC5817" w:rsidRDefault="00BC5817" w:rsidP="00D300B1">
            <w:pPr>
              <w:pStyle w:val="TBodynormalNumber"/>
              <w:keepNext/>
            </w:pPr>
            <w:r>
              <w:t>909</w:t>
            </w:r>
          </w:p>
        </w:tc>
        <w:tc>
          <w:tcPr>
            <w:tcW w:w="119" w:type="dxa"/>
            <w:noWrap/>
            <w:vAlign w:val="bottom"/>
          </w:tcPr>
          <w:p w14:paraId="2A81E4B0"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542EEBFC" w14:textId="77777777" w:rsidR="00BC5817" w:rsidRDefault="00BC5817" w:rsidP="00D300B1">
            <w:pPr>
              <w:pStyle w:val="TBodynormalNumber"/>
              <w:keepNext/>
            </w:pPr>
            <w:r>
              <w:t>6</w:t>
            </w:r>
          </w:p>
        </w:tc>
        <w:tc>
          <w:tcPr>
            <w:tcW w:w="119" w:type="dxa"/>
            <w:noWrap/>
            <w:vAlign w:val="bottom"/>
          </w:tcPr>
          <w:p w14:paraId="271FF74B"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105EBC6F" w14:textId="77777777" w:rsidR="00BC5817" w:rsidRDefault="00BC5817" w:rsidP="00D300B1">
            <w:pPr>
              <w:pStyle w:val="TBodynormalNumber"/>
              <w:keepNext/>
            </w:pPr>
            <w:r>
              <w:t>166</w:t>
            </w:r>
          </w:p>
        </w:tc>
        <w:tc>
          <w:tcPr>
            <w:tcW w:w="119" w:type="dxa"/>
            <w:noWrap/>
            <w:vAlign w:val="bottom"/>
          </w:tcPr>
          <w:p w14:paraId="1D6FAD0B"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604E33BE" w14:textId="77777777" w:rsidR="00BC5817" w:rsidRDefault="00BC5817" w:rsidP="00D300B1">
            <w:pPr>
              <w:pStyle w:val="TBodynormalNumber"/>
              <w:keepNext/>
            </w:pPr>
            <w:r>
              <w:t>173</w:t>
            </w:r>
          </w:p>
        </w:tc>
        <w:tc>
          <w:tcPr>
            <w:tcW w:w="119" w:type="dxa"/>
            <w:noWrap/>
            <w:vAlign w:val="bottom"/>
          </w:tcPr>
          <w:p w14:paraId="3323FB6E"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06718B06" w14:textId="77777777" w:rsidR="00BC5817" w:rsidRDefault="00BC5817" w:rsidP="00D300B1">
            <w:pPr>
              <w:pStyle w:val="TBodynormalNumber"/>
              <w:keepNext/>
            </w:pPr>
            <w:r>
              <w:t>4</w:t>
            </w:r>
          </w:p>
        </w:tc>
      </w:tr>
      <w:tr w:rsidR="00BC5817" w14:paraId="2C5E2AEB" w14:textId="77777777" w:rsidTr="00D300B1">
        <w:tc>
          <w:tcPr>
            <w:tcW w:w="2914" w:type="dxa"/>
            <w:tcBorders>
              <w:top w:val="single" w:sz="4" w:space="0" w:color="A59C94"/>
              <w:bottom w:val="single" w:sz="4" w:space="0" w:color="A59C94"/>
            </w:tcBorders>
            <w:noWrap/>
            <w:vAlign w:val="bottom"/>
          </w:tcPr>
          <w:p w14:paraId="0AC87FC2" w14:textId="77777777" w:rsidR="00BC5817" w:rsidRDefault="00BC5817" w:rsidP="00D300B1">
            <w:pPr>
              <w:pStyle w:val="TBodynormalText"/>
            </w:pPr>
            <w:r>
              <w:t>Performance Materials</w:t>
            </w:r>
          </w:p>
        </w:tc>
        <w:tc>
          <w:tcPr>
            <w:tcW w:w="119" w:type="dxa"/>
            <w:noWrap/>
            <w:vAlign w:val="bottom"/>
          </w:tcPr>
          <w:p w14:paraId="48D9FC6F"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6DB608AF" w14:textId="77777777" w:rsidR="00BC5817" w:rsidRDefault="00BC5817" w:rsidP="00D300B1">
            <w:pPr>
              <w:pStyle w:val="TBodynormalNumber"/>
              <w:keepNext/>
            </w:pPr>
            <w:r>
              <w:t>584</w:t>
            </w:r>
          </w:p>
        </w:tc>
        <w:tc>
          <w:tcPr>
            <w:tcW w:w="119" w:type="dxa"/>
            <w:noWrap/>
            <w:vAlign w:val="bottom"/>
          </w:tcPr>
          <w:p w14:paraId="7B782405"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4B0ADD29" w14:textId="77777777" w:rsidR="00BC5817" w:rsidRDefault="00BC5817" w:rsidP="00D300B1">
            <w:pPr>
              <w:pStyle w:val="TBodynormalNumber"/>
              <w:keepNext/>
            </w:pPr>
            <w:r>
              <w:t>580</w:t>
            </w:r>
          </w:p>
        </w:tc>
        <w:tc>
          <w:tcPr>
            <w:tcW w:w="119" w:type="dxa"/>
            <w:noWrap/>
            <w:vAlign w:val="bottom"/>
          </w:tcPr>
          <w:p w14:paraId="7AD345C8"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16290C56" w14:textId="77777777" w:rsidR="00BC5817" w:rsidRDefault="00BC5817" w:rsidP="00D300B1">
            <w:pPr>
              <w:pStyle w:val="TBodynormalNumber"/>
              <w:keepNext/>
            </w:pPr>
            <w:r>
              <w:t>-1</w:t>
            </w:r>
          </w:p>
        </w:tc>
        <w:tc>
          <w:tcPr>
            <w:tcW w:w="119" w:type="dxa"/>
            <w:noWrap/>
            <w:vAlign w:val="bottom"/>
          </w:tcPr>
          <w:p w14:paraId="3FCAEA54"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668C5D00" w14:textId="77777777" w:rsidR="00BC5817" w:rsidRDefault="00BC5817" w:rsidP="00D300B1">
            <w:pPr>
              <w:pStyle w:val="TBodynormalNumber"/>
              <w:keepNext/>
            </w:pPr>
            <w:r>
              <w:t>18</w:t>
            </w:r>
          </w:p>
        </w:tc>
        <w:tc>
          <w:tcPr>
            <w:tcW w:w="119" w:type="dxa"/>
            <w:noWrap/>
            <w:vAlign w:val="bottom"/>
          </w:tcPr>
          <w:p w14:paraId="31D8A397"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5F08A27C" w14:textId="77777777" w:rsidR="00BC5817" w:rsidRDefault="00BC5817" w:rsidP="00D300B1">
            <w:pPr>
              <w:pStyle w:val="TBodynormalNumber"/>
              <w:keepNext/>
            </w:pPr>
            <w:r>
              <w:t>42</w:t>
            </w:r>
          </w:p>
        </w:tc>
        <w:tc>
          <w:tcPr>
            <w:tcW w:w="119" w:type="dxa"/>
            <w:noWrap/>
            <w:vAlign w:val="bottom"/>
          </w:tcPr>
          <w:p w14:paraId="694E4596"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7AD083D3" w14:textId="77777777" w:rsidR="00BC5817" w:rsidRDefault="00BC5817" w:rsidP="00D300B1">
            <w:pPr>
              <w:pStyle w:val="TBodynormalNumber"/>
              <w:keepNext/>
            </w:pPr>
            <w:r>
              <w:t>133</w:t>
            </w:r>
          </w:p>
        </w:tc>
      </w:tr>
      <w:tr w:rsidR="00BC5817" w14:paraId="3296B12B" w14:textId="77777777" w:rsidTr="00D300B1">
        <w:tc>
          <w:tcPr>
            <w:tcW w:w="2914" w:type="dxa"/>
            <w:tcBorders>
              <w:top w:val="single" w:sz="4" w:space="0" w:color="A59C94"/>
              <w:bottom w:val="single" w:sz="4" w:space="0" w:color="A59C94"/>
            </w:tcBorders>
            <w:noWrap/>
            <w:vAlign w:val="bottom"/>
          </w:tcPr>
          <w:p w14:paraId="33A13730" w14:textId="77777777" w:rsidR="00BC5817" w:rsidRDefault="00BC5817" w:rsidP="00D300B1">
            <w:pPr>
              <w:pStyle w:val="TBodynormalText"/>
            </w:pPr>
            <w:r>
              <w:t xml:space="preserve">Technology &amp; Infrastructure </w:t>
            </w:r>
          </w:p>
        </w:tc>
        <w:tc>
          <w:tcPr>
            <w:tcW w:w="119" w:type="dxa"/>
            <w:noWrap/>
            <w:vAlign w:val="bottom"/>
          </w:tcPr>
          <w:p w14:paraId="4ACF00A8"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02590D2B" w14:textId="77777777" w:rsidR="00BC5817" w:rsidRDefault="00BC5817" w:rsidP="00D300B1">
            <w:pPr>
              <w:pStyle w:val="TBodynormalNumber"/>
              <w:keepNext/>
            </w:pPr>
            <w:r>
              <w:t>184</w:t>
            </w:r>
          </w:p>
        </w:tc>
        <w:tc>
          <w:tcPr>
            <w:tcW w:w="119" w:type="dxa"/>
            <w:noWrap/>
            <w:vAlign w:val="bottom"/>
          </w:tcPr>
          <w:p w14:paraId="2D5ADFD2"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124953C9" w14:textId="77777777" w:rsidR="00BC5817" w:rsidRDefault="00BC5817" w:rsidP="00D300B1">
            <w:pPr>
              <w:pStyle w:val="TBodynormalNumber"/>
              <w:keepNext/>
            </w:pPr>
            <w:r>
              <w:t>169</w:t>
            </w:r>
          </w:p>
        </w:tc>
        <w:tc>
          <w:tcPr>
            <w:tcW w:w="119" w:type="dxa"/>
            <w:noWrap/>
            <w:vAlign w:val="bottom"/>
          </w:tcPr>
          <w:p w14:paraId="221FFDFE"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405FC70D" w14:textId="77777777" w:rsidR="00BC5817" w:rsidRDefault="00BC5817" w:rsidP="00D300B1">
            <w:pPr>
              <w:pStyle w:val="TBodynormalNumber"/>
              <w:keepNext/>
            </w:pPr>
            <w:r>
              <w:t>-8</w:t>
            </w:r>
          </w:p>
        </w:tc>
        <w:tc>
          <w:tcPr>
            <w:tcW w:w="119" w:type="dxa"/>
            <w:noWrap/>
            <w:vAlign w:val="bottom"/>
          </w:tcPr>
          <w:p w14:paraId="35640608"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59481F3F" w14:textId="77777777" w:rsidR="00BC5817" w:rsidRDefault="00BC5817" w:rsidP="00D300B1">
            <w:pPr>
              <w:pStyle w:val="TBodynormalNumber"/>
              <w:keepNext/>
            </w:pPr>
            <w:r>
              <w:t>34</w:t>
            </w:r>
          </w:p>
        </w:tc>
        <w:tc>
          <w:tcPr>
            <w:tcW w:w="119" w:type="dxa"/>
            <w:noWrap/>
            <w:vAlign w:val="bottom"/>
          </w:tcPr>
          <w:p w14:paraId="3EE39286"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3B78E1F7" w14:textId="77777777" w:rsidR="00BC5817" w:rsidRDefault="00BC5817" w:rsidP="00D300B1">
            <w:pPr>
              <w:pStyle w:val="TBodynormalNumber"/>
              <w:keepNext/>
            </w:pPr>
            <w:r>
              <w:t>29</w:t>
            </w:r>
          </w:p>
        </w:tc>
        <w:tc>
          <w:tcPr>
            <w:tcW w:w="119" w:type="dxa"/>
            <w:noWrap/>
            <w:vAlign w:val="bottom"/>
          </w:tcPr>
          <w:p w14:paraId="27819EEB"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32BA5D36" w14:textId="77777777" w:rsidR="00BC5817" w:rsidRDefault="00BC5817" w:rsidP="00D300B1">
            <w:pPr>
              <w:pStyle w:val="TBodynormalNumber"/>
              <w:keepNext/>
            </w:pPr>
            <w:r>
              <w:t>-15</w:t>
            </w:r>
          </w:p>
        </w:tc>
      </w:tr>
      <w:tr w:rsidR="00BC5817" w14:paraId="6CF4BC87" w14:textId="77777777" w:rsidTr="00D300B1">
        <w:tc>
          <w:tcPr>
            <w:tcW w:w="2914" w:type="dxa"/>
            <w:tcBorders>
              <w:top w:val="single" w:sz="4" w:space="0" w:color="A59C94"/>
              <w:bottom w:val="single" w:sz="4" w:space="0" w:color="A59C94"/>
            </w:tcBorders>
            <w:noWrap/>
            <w:vAlign w:val="bottom"/>
          </w:tcPr>
          <w:p w14:paraId="5A177C36" w14:textId="77777777" w:rsidR="00BC5817" w:rsidRPr="00F77A01" w:rsidRDefault="00BC5817" w:rsidP="00D300B1">
            <w:pPr>
              <w:pStyle w:val="TBodynormalText"/>
              <w:rPr>
                <w:lang w:val="en-US"/>
              </w:rPr>
            </w:pPr>
            <w:r w:rsidRPr="00F77A01">
              <w:rPr>
                <w:lang w:val="en-US"/>
              </w:rPr>
              <w:t>Enabling Functions, Other Activities, Consolidation</w:t>
            </w:r>
          </w:p>
        </w:tc>
        <w:tc>
          <w:tcPr>
            <w:tcW w:w="119" w:type="dxa"/>
            <w:noWrap/>
            <w:vAlign w:val="bottom"/>
          </w:tcPr>
          <w:p w14:paraId="5205094B" w14:textId="77777777" w:rsidR="00BC5817" w:rsidRPr="00F77A01" w:rsidRDefault="00BC5817" w:rsidP="00D300B1">
            <w:pPr>
              <w:pStyle w:val="TBodynormalNumber"/>
              <w:keepNext/>
              <w:rPr>
                <w:lang w:val="en-US"/>
              </w:rPr>
            </w:pPr>
            <w:r w:rsidRPr="00F77A01">
              <w:rPr>
                <w:lang w:val="en-US"/>
              </w:rPr>
              <w:t> </w:t>
            </w:r>
          </w:p>
        </w:tc>
        <w:tc>
          <w:tcPr>
            <w:tcW w:w="1021" w:type="dxa"/>
            <w:tcBorders>
              <w:top w:val="single" w:sz="4" w:space="0" w:color="A59C94"/>
              <w:bottom w:val="single" w:sz="4" w:space="0" w:color="A59C94"/>
            </w:tcBorders>
            <w:noWrap/>
            <w:vAlign w:val="bottom"/>
          </w:tcPr>
          <w:p w14:paraId="26426EBF" w14:textId="77777777" w:rsidR="00BC5817" w:rsidRDefault="00BC5817" w:rsidP="00D300B1">
            <w:pPr>
              <w:pStyle w:val="TBodynormalNumber"/>
              <w:keepNext/>
            </w:pPr>
            <w:r>
              <w:t>17</w:t>
            </w:r>
          </w:p>
        </w:tc>
        <w:tc>
          <w:tcPr>
            <w:tcW w:w="119" w:type="dxa"/>
            <w:noWrap/>
            <w:vAlign w:val="bottom"/>
          </w:tcPr>
          <w:p w14:paraId="5D9F4976"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42D216EC" w14:textId="77777777" w:rsidR="00BC5817" w:rsidRDefault="00BC5817" w:rsidP="00D300B1">
            <w:pPr>
              <w:pStyle w:val="TBodynormalNumber"/>
              <w:keepNext/>
            </w:pPr>
            <w:r>
              <w:t>13</w:t>
            </w:r>
          </w:p>
        </w:tc>
        <w:tc>
          <w:tcPr>
            <w:tcW w:w="119" w:type="dxa"/>
            <w:noWrap/>
            <w:vAlign w:val="bottom"/>
          </w:tcPr>
          <w:p w14:paraId="10C63A86"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1FBFD18A" w14:textId="77777777" w:rsidR="00BC5817" w:rsidRDefault="00BC5817" w:rsidP="00D300B1">
            <w:pPr>
              <w:pStyle w:val="TBodynormalNumber"/>
              <w:keepNext/>
            </w:pPr>
            <w:r>
              <w:t>-24</w:t>
            </w:r>
          </w:p>
        </w:tc>
        <w:tc>
          <w:tcPr>
            <w:tcW w:w="119" w:type="dxa"/>
            <w:noWrap/>
            <w:vAlign w:val="bottom"/>
          </w:tcPr>
          <w:p w14:paraId="1CD67114"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69BCCCDA" w14:textId="77777777" w:rsidR="00BC5817" w:rsidRDefault="00BC5817" w:rsidP="00D300B1">
            <w:pPr>
              <w:pStyle w:val="TBodynormalNumber"/>
              <w:keepNext/>
            </w:pPr>
            <w:r>
              <w:t>-62</w:t>
            </w:r>
          </w:p>
        </w:tc>
        <w:tc>
          <w:tcPr>
            <w:tcW w:w="119" w:type="dxa"/>
            <w:noWrap/>
            <w:vAlign w:val="bottom"/>
          </w:tcPr>
          <w:p w14:paraId="0B0BB711"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5B7AC1EB" w14:textId="77777777" w:rsidR="00BC5817" w:rsidRDefault="00BC5817" w:rsidP="00D300B1">
            <w:pPr>
              <w:pStyle w:val="TBodynormalNumber"/>
              <w:keepNext/>
            </w:pPr>
            <w:r>
              <w:t>-72</w:t>
            </w:r>
          </w:p>
        </w:tc>
        <w:tc>
          <w:tcPr>
            <w:tcW w:w="119" w:type="dxa"/>
            <w:noWrap/>
            <w:vAlign w:val="bottom"/>
          </w:tcPr>
          <w:p w14:paraId="0F6E3DCC"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13458464" w14:textId="77777777" w:rsidR="00BC5817" w:rsidRDefault="00BC5817" w:rsidP="00D300B1">
            <w:pPr>
              <w:pStyle w:val="TBodynormalNumber"/>
              <w:keepNext/>
            </w:pPr>
            <w:r>
              <w:t>-16</w:t>
            </w:r>
          </w:p>
        </w:tc>
      </w:tr>
      <w:tr w:rsidR="00BC5817" w14:paraId="08F162E3" w14:textId="77777777" w:rsidTr="00D300B1">
        <w:tc>
          <w:tcPr>
            <w:tcW w:w="2914" w:type="dxa"/>
            <w:tcBorders>
              <w:top w:val="single" w:sz="4" w:space="0" w:color="A59C94"/>
              <w:bottom w:val="single" w:sz="16" w:space="0" w:color="991D85"/>
            </w:tcBorders>
            <w:noWrap/>
            <w:vAlign w:val="bottom"/>
          </w:tcPr>
          <w:p w14:paraId="03F17CD6" w14:textId="77777777" w:rsidR="00BC5817" w:rsidRDefault="00BC5817" w:rsidP="00D300B1">
            <w:pPr>
              <w:pStyle w:val="TBodytotalText"/>
            </w:pPr>
            <w:bookmarkStart w:id="11" w:name="RANGE!B33:N33"/>
            <w:r>
              <w:rPr>
                <w:bCs/>
              </w:rPr>
              <w:t>Group</w:t>
            </w:r>
            <w:bookmarkEnd w:id="11"/>
          </w:p>
        </w:tc>
        <w:tc>
          <w:tcPr>
            <w:tcW w:w="119" w:type="dxa"/>
            <w:tcBorders>
              <w:bottom w:val="single" w:sz="16" w:space="0" w:color="991D85"/>
            </w:tcBorders>
            <w:noWrap/>
            <w:vAlign w:val="bottom"/>
          </w:tcPr>
          <w:p w14:paraId="624EBF88"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noWrap/>
            <w:vAlign w:val="bottom"/>
          </w:tcPr>
          <w:p w14:paraId="0216C18A" w14:textId="77777777" w:rsidR="00BC5817" w:rsidRDefault="00BC5817" w:rsidP="00D300B1">
            <w:pPr>
              <w:pStyle w:val="TBodytotalNumber"/>
            </w:pPr>
            <w:r>
              <w:rPr>
                <w:bCs/>
              </w:rPr>
              <w:t>3,243</w:t>
            </w:r>
          </w:p>
        </w:tc>
        <w:tc>
          <w:tcPr>
            <w:tcW w:w="119" w:type="dxa"/>
            <w:tcBorders>
              <w:bottom w:val="single" w:sz="16" w:space="0" w:color="991D85"/>
            </w:tcBorders>
            <w:noWrap/>
            <w:vAlign w:val="bottom"/>
          </w:tcPr>
          <w:p w14:paraId="3E0B8BA6"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shd w:val="clear" w:color="000000" w:fill="DAD5C9"/>
            <w:noWrap/>
            <w:vAlign w:val="bottom"/>
          </w:tcPr>
          <w:p w14:paraId="5BF921D8" w14:textId="77777777" w:rsidR="00BC5817" w:rsidRDefault="00BC5817" w:rsidP="00D300B1">
            <w:pPr>
              <w:pStyle w:val="TBodytotalNumber"/>
            </w:pPr>
            <w:r>
              <w:rPr>
                <w:bCs/>
              </w:rPr>
              <w:t>3,358</w:t>
            </w:r>
          </w:p>
        </w:tc>
        <w:tc>
          <w:tcPr>
            <w:tcW w:w="119" w:type="dxa"/>
            <w:tcBorders>
              <w:bottom w:val="single" w:sz="16" w:space="0" w:color="991D85"/>
            </w:tcBorders>
            <w:noWrap/>
            <w:vAlign w:val="bottom"/>
          </w:tcPr>
          <w:p w14:paraId="7F943155"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noWrap/>
            <w:vAlign w:val="bottom"/>
          </w:tcPr>
          <w:p w14:paraId="73359039" w14:textId="77777777" w:rsidR="00BC5817" w:rsidRDefault="00BC5817" w:rsidP="00D300B1">
            <w:pPr>
              <w:pStyle w:val="TBodytotalNumber"/>
            </w:pPr>
            <w:r>
              <w:rPr>
                <w:bCs/>
              </w:rPr>
              <w:t>4</w:t>
            </w:r>
          </w:p>
        </w:tc>
        <w:tc>
          <w:tcPr>
            <w:tcW w:w="119" w:type="dxa"/>
            <w:tcBorders>
              <w:bottom w:val="single" w:sz="16" w:space="0" w:color="991D85"/>
            </w:tcBorders>
            <w:noWrap/>
            <w:vAlign w:val="bottom"/>
          </w:tcPr>
          <w:p w14:paraId="68EACEC5"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noWrap/>
            <w:vAlign w:val="bottom"/>
          </w:tcPr>
          <w:p w14:paraId="130B4358" w14:textId="77777777" w:rsidR="00BC5817" w:rsidRDefault="00BC5817" w:rsidP="00D300B1">
            <w:pPr>
              <w:pStyle w:val="TBodytotalNumber"/>
            </w:pPr>
            <w:r>
              <w:rPr>
                <w:bCs/>
              </w:rPr>
              <w:t>513</w:t>
            </w:r>
          </w:p>
        </w:tc>
        <w:tc>
          <w:tcPr>
            <w:tcW w:w="119" w:type="dxa"/>
            <w:tcBorders>
              <w:bottom w:val="single" w:sz="16" w:space="0" w:color="991D85"/>
            </w:tcBorders>
            <w:noWrap/>
            <w:vAlign w:val="bottom"/>
          </w:tcPr>
          <w:p w14:paraId="32235066"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shd w:val="clear" w:color="000000" w:fill="DAD5C9"/>
            <w:noWrap/>
            <w:vAlign w:val="bottom"/>
          </w:tcPr>
          <w:p w14:paraId="0FD03332" w14:textId="77777777" w:rsidR="00BC5817" w:rsidRDefault="00BC5817" w:rsidP="00D300B1">
            <w:pPr>
              <w:pStyle w:val="TBodytotalNumber"/>
            </w:pPr>
            <w:r>
              <w:rPr>
                <w:bCs/>
              </w:rPr>
              <w:t>588</w:t>
            </w:r>
          </w:p>
        </w:tc>
        <w:tc>
          <w:tcPr>
            <w:tcW w:w="119" w:type="dxa"/>
            <w:tcBorders>
              <w:bottom w:val="single" w:sz="16" w:space="0" w:color="991D85"/>
            </w:tcBorders>
            <w:noWrap/>
            <w:vAlign w:val="bottom"/>
          </w:tcPr>
          <w:p w14:paraId="4148CC59"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noWrap/>
            <w:vAlign w:val="bottom"/>
          </w:tcPr>
          <w:p w14:paraId="20D43B3D" w14:textId="77777777" w:rsidR="00BC5817" w:rsidRDefault="00BC5817" w:rsidP="00D300B1">
            <w:pPr>
              <w:pStyle w:val="TBodytotalNumber"/>
            </w:pPr>
            <w:r>
              <w:rPr>
                <w:bCs/>
              </w:rPr>
              <w:t>15</w:t>
            </w:r>
          </w:p>
        </w:tc>
      </w:tr>
      <w:bookmarkEnd w:id="3"/>
    </w:tbl>
    <w:p w14:paraId="2F6B5C22" w14:textId="77777777" w:rsidR="00BC5817" w:rsidRDefault="00BC5817" w:rsidP="00BC5817">
      <w:pPr>
        <w:pStyle w:val="StandardWeb"/>
        <w:spacing w:after="240" w:line="372" w:lineRule="atLeast"/>
        <w:rPr>
          <w:rFonts w:ascii="Trebuchet MS" w:hAnsi="Trebuchet MS"/>
          <w:sz w:val="20"/>
          <w:szCs w:val="20"/>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BC5817" w14:paraId="011CEDCB" w14:textId="77777777" w:rsidTr="00D300B1">
        <w:tc>
          <w:tcPr>
            <w:tcW w:w="7473" w:type="dxa"/>
            <w:noWrap/>
            <w:vAlign w:val="bottom"/>
          </w:tcPr>
          <w:p w14:paraId="44BA4AA2" w14:textId="77777777" w:rsidR="00BC5817" w:rsidRDefault="00BC5817" w:rsidP="00D300B1">
            <w:pPr>
              <w:pStyle w:val="TTitleText"/>
            </w:pPr>
            <w:bookmarkStart w:id="12" w:name="RANGE!B49:F60"/>
            <w:bookmarkStart w:id="13" w:name="SNEID_ff49204d453a430193fb198056f74b99"/>
            <w:r>
              <w:rPr>
                <w:bCs/>
              </w:rPr>
              <w:t xml:space="preserve">Employees by </w:t>
            </w:r>
            <w:bookmarkEnd w:id="12"/>
            <w:r>
              <w:rPr>
                <w:bCs/>
              </w:rPr>
              <w:t>division</w:t>
            </w:r>
          </w:p>
        </w:tc>
        <w:tc>
          <w:tcPr>
            <w:tcW w:w="119" w:type="dxa"/>
            <w:noWrap/>
            <w:vAlign w:val="bottom"/>
          </w:tcPr>
          <w:p w14:paraId="39CE113A" w14:textId="77777777" w:rsidR="00BC5817" w:rsidRDefault="00BC5817" w:rsidP="00D300B1">
            <w:pPr>
              <w:pStyle w:val="TTitleText"/>
            </w:pPr>
            <w:r>
              <w:rPr>
                <w:bCs/>
              </w:rPr>
              <w:t> </w:t>
            </w:r>
          </w:p>
        </w:tc>
        <w:tc>
          <w:tcPr>
            <w:tcW w:w="1021" w:type="dxa"/>
            <w:noWrap/>
            <w:vAlign w:val="bottom"/>
          </w:tcPr>
          <w:p w14:paraId="3177B8E2" w14:textId="77777777" w:rsidR="00BC5817" w:rsidRDefault="00BC5817" w:rsidP="00D300B1">
            <w:pPr>
              <w:pStyle w:val="TTitleText"/>
            </w:pPr>
            <w:r>
              <w:t> </w:t>
            </w:r>
          </w:p>
        </w:tc>
        <w:tc>
          <w:tcPr>
            <w:tcW w:w="119" w:type="dxa"/>
            <w:noWrap/>
            <w:vAlign w:val="bottom"/>
          </w:tcPr>
          <w:p w14:paraId="58FC95A2" w14:textId="77777777" w:rsidR="00BC5817" w:rsidRDefault="00BC5817" w:rsidP="00D300B1">
            <w:pPr>
              <w:pStyle w:val="TTitleText"/>
            </w:pPr>
            <w:r>
              <w:t> </w:t>
            </w:r>
          </w:p>
        </w:tc>
        <w:tc>
          <w:tcPr>
            <w:tcW w:w="1021" w:type="dxa"/>
            <w:noWrap/>
            <w:vAlign w:val="bottom"/>
          </w:tcPr>
          <w:p w14:paraId="6D055864" w14:textId="77777777" w:rsidR="00BC5817" w:rsidRDefault="00BC5817" w:rsidP="00D300B1">
            <w:pPr>
              <w:pStyle w:val="TTitleText"/>
            </w:pPr>
            <w:r>
              <w:t> </w:t>
            </w:r>
          </w:p>
        </w:tc>
      </w:tr>
      <w:tr w:rsidR="00BC5817" w14:paraId="34B40DB5" w14:textId="77777777" w:rsidTr="00D300B1">
        <w:tc>
          <w:tcPr>
            <w:tcW w:w="7473" w:type="dxa"/>
            <w:tcBorders>
              <w:top w:val="single" w:sz="8" w:space="0" w:color="000000"/>
            </w:tcBorders>
            <w:noWrap/>
            <w:vAlign w:val="bottom"/>
          </w:tcPr>
          <w:p w14:paraId="4DDB22CB" w14:textId="77777777" w:rsidR="00BC5817" w:rsidRDefault="00BC5817" w:rsidP="00D300B1">
            <w:pPr>
              <w:pStyle w:val="TDummy"/>
              <w:keepNext/>
            </w:pPr>
            <w:r>
              <w:t> </w:t>
            </w:r>
          </w:p>
        </w:tc>
        <w:tc>
          <w:tcPr>
            <w:tcW w:w="119" w:type="dxa"/>
            <w:tcBorders>
              <w:top w:val="single" w:sz="8" w:space="0" w:color="000000"/>
            </w:tcBorders>
            <w:noWrap/>
            <w:vAlign w:val="bottom"/>
          </w:tcPr>
          <w:p w14:paraId="6AD2995D" w14:textId="77777777" w:rsidR="00BC5817" w:rsidRDefault="00BC5817" w:rsidP="00D300B1">
            <w:pPr>
              <w:pStyle w:val="TDummy"/>
              <w:keepNext/>
            </w:pPr>
            <w:r>
              <w:t> </w:t>
            </w:r>
          </w:p>
        </w:tc>
        <w:tc>
          <w:tcPr>
            <w:tcW w:w="1021" w:type="dxa"/>
            <w:tcBorders>
              <w:top w:val="single" w:sz="8" w:space="0" w:color="000000"/>
            </w:tcBorders>
            <w:noWrap/>
            <w:vAlign w:val="bottom"/>
          </w:tcPr>
          <w:p w14:paraId="2C52855D" w14:textId="77777777" w:rsidR="00BC5817" w:rsidRDefault="00BC5817" w:rsidP="00D300B1">
            <w:pPr>
              <w:pStyle w:val="TDummy"/>
              <w:keepNext/>
            </w:pPr>
            <w:r>
              <w:t> </w:t>
            </w:r>
          </w:p>
        </w:tc>
        <w:tc>
          <w:tcPr>
            <w:tcW w:w="119" w:type="dxa"/>
            <w:tcBorders>
              <w:top w:val="single" w:sz="8" w:space="0" w:color="000000"/>
            </w:tcBorders>
            <w:noWrap/>
            <w:vAlign w:val="bottom"/>
          </w:tcPr>
          <w:p w14:paraId="74D30EEF" w14:textId="77777777" w:rsidR="00BC5817" w:rsidRDefault="00BC5817" w:rsidP="00D300B1">
            <w:pPr>
              <w:pStyle w:val="TDummy"/>
              <w:keepNext/>
            </w:pPr>
            <w:r>
              <w:t> </w:t>
            </w:r>
          </w:p>
        </w:tc>
        <w:tc>
          <w:tcPr>
            <w:tcW w:w="1021" w:type="dxa"/>
            <w:tcBorders>
              <w:top w:val="single" w:sz="8" w:space="0" w:color="000000"/>
            </w:tcBorders>
            <w:noWrap/>
            <w:vAlign w:val="bottom"/>
          </w:tcPr>
          <w:p w14:paraId="5FF0D1F8" w14:textId="77777777" w:rsidR="00BC5817" w:rsidRDefault="00BC5817" w:rsidP="00D300B1">
            <w:pPr>
              <w:pStyle w:val="TDummy"/>
              <w:keepNext/>
            </w:pPr>
            <w:r>
              <w:t> </w:t>
            </w:r>
          </w:p>
        </w:tc>
      </w:tr>
      <w:tr w:rsidR="00BC5817" w14:paraId="47BF4B2D" w14:textId="77777777" w:rsidTr="00D300B1">
        <w:tc>
          <w:tcPr>
            <w:tcW w:w="7473" w:type="dxa"/>
            <w:tcBorders>
              <w:bottom w:val="single" w:sz="4" w:space="0" w:color="000000"/>
            </w:tcBorders>
            <w:shd w:val="clear" w:color="000000" w:fill="FFFFFF"/>
            <w:noWrap/>
            <w:vAlign w:val="bottom"/>
          </w:tcPr>
          <w:p w14:paraId="7A7EA0D5" w14:textId="77777777" w:rsidR="00BC5817" w:rsidRDefault="00BC5817" w:rsidP="00D300B1">
            <w:pPr>
              <w:pStyle w:val="THeadsingleText"/>
            </w:pPr>
            <w:bookmarkStart w:id="14" w:name="RANGE!B51:F51"/>
            <w:r>
              <w:t> </w:t>
            </w:r>
            <w:bookmarkEnd w:id="14"/>
          </w:p>
        </w:tc>
        <w:tc>
          <w:tcPr>
            <w:tcW w:w="119" w:type="dxa"/>
            <w:noWrap/>
            <w:vAlign w:val="bottom"/>
          </w:tcPr>
          <w:p w14:paraId="66ED018A" w14:textId="77777777" w:rsidR="00BC5817" w:rsidRDefault="00BC5817" w:rsidP="00D300B1">
            <w:pPr>
              <w:pStyle w:val="THeadsingleNumber"/>
            </w:pPr>
            <w:r>
              <w:t> </w:t>
            </w:r>
          </w:p>
        </w:tc>
        <w:tc>
          <w:tcPr>
            <w:tcW w:w="1021" w:type="dxa"/>
            <w:tcBorders>
              <w:bottom w:val="single" w:sz="4" w:space="0" w:color="000000"/>
            </w:tcBorders>
            <w:shd w:val="clear" w:color="000000" w:fill="FFFFFF"/>
            <w:vAlign w:val="bottom"/>
          </w:tcPr>
          <w:p w14:paraId="2D60F635" w14:textId="77777777" w:rsidR="00BC5817" w:rsidRDefault="00BC5817" w:rsidP="00D300B1">
            <w:pPr>
              <w:pStyle w:val="THeadsingleNumber"/>
            </w:pPr>
            <w:r>
              <w:t>31.12.2020</w:t>
            </w:r>
          </w:p>
        </w:tc>
        <w:tc>
          <w:tcPr>
            <w:tcW w:w="119" w:type="dxa"/>
            <w:vAlign w:val="bottom"/>
          </w:tcPr>
          <w:p w14:paraId="7BD21861" w14:textId="77777777" w:rsidR="00BC5817" w:rsidRDefault="00BC5817" w:rsidP="00D300B1">
            <w:pPr>
              <w:pStyle w:val="THeadsingleNumber"/>
            </w:pPr>
            <w:r>
              <w:t> </w:t>
            </w:r>
          </w:p>
        </w:tc>
        <w:tc>
          <w:tcPr>
            <w:tcW w:w="1021" w:type="dxa"/>
            <w:tcBorders>
              <w:bottom w:val="single" w:sz="4" w:space="0" w:color="000000"/>
            </w:tcBorders>
            <w:shd w:val="clear" w:color="000000" w:fill="FFFFFF"/>
            <w:vAlign w:val="bottom"/>
          </w:tcPr>
          <w:p w14:paraId="45FE4C3B" w14:textId="77777777" w:rsidR="00BC5817" w:rsidRDefault="00BC5817" w:rsidP="00D300B1">
            <w:pPr>
              <w:pStyle w:val="THeadsingleNumberbold"/>
            </w:pPr>
            <w:bookmarkStart w:id="15" w:name="RANGE!F51:F60"/>
            <w:r>
              <w:rPr>
                <w:bCs/>
              </w:rPr>
              <w:t>31.03.2021</w:t>
            </w:r>
            <w:bookmarkEnd w:id="15"/>
          </w:p>
        </w:tc>
      </w:tr>
      <w:tr w:rsidR="00BC5817" w14:paraId="13636FC2" w14:textId="77777777" w:rsidTr="00D300B1">
        <w:tc>
          <w:tcPr>
            <w:tcW w:w="7473" w:type="dxa"/>
            <w:tcBorders>
              <w:top w:val="single" w:sz="4" w:space="0" w:color="000000"/>
              <w:bottom w:val="single" w:sz="4" w:space="0" w:color="A59C94"/>
            </w:tcBorders>
            <w:noWrap/>
            <w:vAlign w:val="bottom"/>
          </w:tcPr>
          <w:p w14:paraId="10B3CBBA" w14:textId="77777777" w:rsidR="00BC5817" w:rsidRDefault="00BC5817" w:rsidP="00D300B1">
            <w:pPr>
              <w:pStyle w:val="TBodynormalText"/>
            </w:pPr>
            <w:r>
              <w:t>Specialty Additives</w:t>
            </w:r>
          </w:p>
        </w:tc>
        <w:tc>
          <w:tcPr>
            <w:tcW w:w="119" w:type="dxa"/>
            <w:noWrap/>
            <w:vAlign w:val="bottom"/>
          </w:tcPr>
          <w:p w14:paraId="5C9B51E5"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noWrap/>
            <w:vAlign w:val="bottom"/>
          </w:tcPr>
          <w:p w14:paraId="4DA1A84A" w14:textId="77777777" w:rsidR="00BC5817" w:rsidRDefault="00BC5817" w:rsidP="00D300B1">
            <w:pPr>
              <w:pStyle w:val="TBodynormalNumber"/>
              <w:keepNext/>
            </w:pPr>
            <w:r>
              <w:t>3,666</w:t>
            </w:r>
          </w:p>
        </w:tc>
        <w:tc>
          <w:tcPr>
            <w:tcW w:w="119" w:type="dxa"/>
            <w:noWrap/>
            <w:vAlign w:val="bottom"/>
          </w:tcPr>
          <w:p w14:paraId="4DC20084" w14:textId="77777777" w:rsidR="00BC5817" w:rsidRDefault="00BC5817" w:rsidP="00D300B1">
            <w:pPr>
              <w:pStyle w:val="TBodynormalNumber"/>
              <w:keepNext/>
            </w:pPr>
            <w:r>
              <w:t> </w:t>
            </w:r>
          </w:p>
        </w:tc>
        <w:tc>
          <w:tcPr>
            <w:tcW w:w="1021" w:type="dxa"/>
            <w:tcBorders>
              <w:top w:val="single" w:sz="4" w:space="0" w:color="000000"/>
              <w:bottom w:val="single" w:sz="4" w:space="0" w:color="A59C94"/>
            </w:tcBorders>
            <w:shd w:val="clear" w:color="000000" w:fill="DAD5C9"/>
            <w:noWrap/>
            <w:vAlign w:val="bottom"/>
          </w:tcPr>
          <w:p w14:paraId="269A956E" w14:textId="77777777" w:rsidR="00BC5817" w:rsidRDefault="00BC5817" w:rsidP="00D300B1">
            <w:pPr>
              <w:pStyle w:val="TBodynormalNumber"/>
              <w:keepNext/>
            </w:pPr>
            <w:r>
              <w:t>3,678</w:t>
            </w:r>
          </w:p>
        </w:tc>
      </w:tr>
      <w:tr w:rsidR="00BC5817" w14:paraId="43F2A3C0" w14:textId="77777777" w:rsidTr="00D300B1">
        <w:tc>
          <w:tcPr>
            <w:tcW w:w="7473" w:type="dxa"/>
            <w:tcBorders>
              <w:top w:val="single" w:sz="4" w:space="0" w:color="A59C94"/>
              <w:bottom w:val="single" w:sz="4" w:space="0" w:color="A59C94"/>
            </w:tcBorders>
            <w:noWrap/>
            <w:vAlign w:val="bottom"/>
          </w:tcPr>
          <w:p w14:paraId="68C3344D" w14:textId="77777777" w:rsidR="00BC5817" w:rsidRDefault="00BC5817" w:rsidP="00D300B1">
            <w:pPr>
              <w:pStyle w:val="TBodynormalText"/>
            </w:pPr>
            <w:r>
              <w:t>Nutrition &amp; Care</w:t>
            </w:r>
          </w:p>
        </w:tc>
        <w:tc>
          <w:tcPr>
            <w:tcW w:w="119" w:type="dxa"/>
            <w:noWrap/>
            <w:vAlign w:val="bottom"/>
          </w:tcPr>
          <w:p w14:paraId="23BA4B1C"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3CE0428B" w14:textId="77777777" w:rsidR="00BC5817" w:rsidRDefault="00BC5817" w:rsidP="00D300B1">
            <w:pPr>
              <w:pStyle w:val="TBodynormalNumber"/>
              <w:keepNext/>
            </w:pPr>
            <w:r>
              <w:t>5,295</w:t>
            </w:r>
          </w:p>
        </w:tc>
        <w:tc>
          <w:tcPr>
            <w:tcW w:w="119" w:type="dxa"/>
            <w:noWrap/>
            <w:vAlign w:val="bottom"/>
          </w:tcPr>
          <w:p w14:paraId="0265B261"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1278EB96" w14:textId="77777777" w:rsidR="00BC5817" w:rsidRDefault="00BC5817" w:rsidP="00D300B1">
            <w:pPr>
              <w:pStyle w:val="TBodynormalNumber"/>
              <w:keepNext/>
            </w:pPr>
            <w:r>
              <w:t>5,281</w:t>
            </w:r>
          </w:p>
        </w:tc>
      </w:tr>
      <w:tr w:rsidR="00BC5817" w14:paraId="392AB7B3" w14:textId="77777777" w:rsidTr="00D300B1">
        <w:tc>
          <w:tcPr>
            <w:tcW w:w="7473" w:type="dxa"/>
            <w:tcBorders>
              <w:top w:val="single" w:sz="4" w:space="0" w:color="A59C94"/>
              <w:bottom w:val="single" w:sz="4" w:space="0" w:color="A59C94"/>
            </w:tcBorders>
            <w:noWrap/>
            <w:vAlign w:val="bottom"/>
          </w:tcPr>
          <w:p w14:paraId="4E80C774" w14:textId="77777777" w:rsidR="00BC5817" w:rsidRDefault="00BC5817" w:rsidP="00D300B1">
            <w:pPr>
              <w:pStyle w:val="TBodynormalText"/>
            </w:pPr>
            <w:r>
              <w:t>Smart Materials</w:t>
            </w:r>
          </w:p>
        </w:tc>
        <w:tc>
          <w:tcPr>
            <w:tcW w:w="119" w:type="dxa"/>
            <w:noWrap/>
            <w:vAlign w:val="bottom"/>
          </w:tcPr>
          <w:p w14:paraId="3D708AA7"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2183F685" w14:textId="77777777" w:rsidR="00BC5817" w:rsidRDefault="00BC5817" w:rsidP="00D300B1">
            <w:pPr>
              <w:pStyle w:val="TBodynormalNumber"/>
              <w:keepNext/>
            </w:pPr>
            <w:r>
              <w:t>7,874</w:t>
            </w:r>
          </w:p>
        </w:tc>
        <w:tc>
          <w:tcPr>
            <w:tcW w:w="119" w:type="dxa"/>
            <w:noWrap/>
            <w:vAlign w:val="bottom"/>
          </w:tcPr>
          <w:p w14:paraId="5E951B97"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19505071" w14:textId="77777777" w:rsidR="00BC5817" w:rsidRDefault="00BC5817" w:rsidP="00D300B1">
            <w:pPr>
              <w:pStyle w:val="TBodynormalNumber"/>
              <w:keepNext/>
            </w:pPr>
            <w:r>
              <w:t>7,783</w:t>
            </w:r>
          </w:p>
        </w:tc>
      </w:tr>
      <w:tr w:rsidR="00BC5817" w14:paraId="72C6F229" w14:textId="77777777" w:rsidTr="00D300B1">
        <w:tc>
          <w:tcPr>
            <w:tcW w:w="7473" w:type="dxa"/>
            <w:tcBorders>
              <w:top w:val="single" w:sz="4" w:space="0" w:color="A59C94"/>
              <w:bottom w:val="single" w:sz="4" w:space="0" w:color="A59C94"/>
            </w:tcBorders>
            <w:noWrap/>
            <w:vAlign w:val="bottom"/>
          </w:tcPr>
          <w:p w14:paraId="36D60DCB" w14:textId="77777777" w:rsidR="00BC5817" w:rsidRDefault="00BC5817" w:rsidP="00D300B1">
            <w:pPr>
              <w:pStyle w:val="TBodynormalText"/>
            </w:pPr>
            <w:r>
              <w:t>Performance Materials</w:t>
            </w:r>
          </w:p>
        </w:tc>
        <w:tc>
          <w:tcPr>
            <w:tcW w:w="119" w:type="dxa"/>
            <w:noWrap/>
            <w:vAlign w:val="bottom"/>
          </w:tcPr>
          <w:p w14:paraId="4CDBEE53"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2C52CE3B" w14:textId="77777777" w:rsidR="00BC5817" w:rsidRDefault="00BC5817" w:rsidP="00D300B1">
            <w:pPr>
              <w:pStyle w:val="TBodynormalNumber"/>
              <w:keepNext/>
            </w:pPr>
            <w:r>
              <w:t>1,639</w:t>
            </w:r>
          </w:p>
        </w:tc>
        <w:tc>
          <w:tcPr>
            <w:tcW w:w="119" w:type="dxa"/>
            <w:noWrap/>
            <w:vAlign w:val="bottom"/>
          </w:tcPr>
          <w:p w14:paraId="7FBE6C5F"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47506888" w14:textId="77777777" w:rsidR="00BC5817" w:rsidRDefault="00BC5817" w:rsidP="00D300B1">
            <w:pPr>
              <w:pStyle w:val="TBodynormalNumber"/>
              <w:keepNext/>
            </w:pPr>
            <w:r>
              <w:t>1,810</w:t>
            </w:r>
          </w:p>
        </w:tc>
      </w:tr>
      <w:tr w:rsidR="00BC5817" w14:paraId="666714EB" w14:textId="77777777" w:rsidTr="00D300B1">
        <w:tc>
          <w:tcPr>
            <w:tcW w:w="7473" w:type="dxa"/>
            <w:tcBorders>
              <w:top w:val="single" w:sz="4" w:space="0" w:color="A59C94"/>
              <w:bottom w:val="single" w:sz="4" w:space="0" w:color="A59C94"/>
            </w:tcBorders>
            <w:noWrap/>
            <w:vAlign w:val="bottom"/>
          </w:tcPr>
          <w:p w14:paraId="5544F70B" w14:textId="77777777" w:rsidR="00BC5817" w:rsidRDefault="00BC5817" w:rsidP="00D300B1">
            <w:pPr>
              <w:pStyle w:val="TBodynormalText"/>
            </w:pPr>
            <w:r>
              <w:t xml:space="preserve">Technology &amp; Infrastructure </w:t>
            </w:r>
          </w:p>
        </w:tc>
        <w:tc>
          <w:tcPr>
            <w:tcW w:w="119" w:type="dxa"/>
            <w:noWrap/>
            <w:vAlign w:val="bottom"/>
          </w:tcPr>
          <w:p w14:paraId="51C64D6B"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noWrap/>
            <w:vAlign w:val="bottom"/>
          </w:tcPr>
          <w:p w14:paraId="3F94D557" w14:textId="77777777" w:rsidR="00BC5817" w:rsidRDefault="00BC5817" w:rsidP="00D300B1">
            <w:pPr>
              <w:pStyle w:val="TBodynormalNumber"/>
              <w:keepNext/>
            </w:pPr>
            <w:r>
              <w:t>8,870</w:t>
            </w:r>
          </w:p>
        </w:tc>
        <w:tc>
          <w:tcPr>
            <w:tcW w:w="119" w:type="dxa"/>
            <w:noWrap/>
            <w:vAlign w:val="bottom"/>
          </w:tcPr>
          <w:p w14:paraId="4BC951C8"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05534412" w14:textId="77777777" w:rsidR="00BC5817" w:rsidRDefault="00BC5817" w:rsidP="00D300B1">
            <w:pPr>
              <w:pStyle w:val="TBodynormalNumber"/>
              <w:keepNext/>
            </w:pPr>
            <w:r>
              <w:t>8,510</w:t>
            </w:r>
          </w:p>
        </w:tc>
      </w:tr>
      <w:tr w:rsidR="00BC5817" w14:paraId="7398C821" w14:textId="77777777" w:rsidTr="00D300B1">
        <w:tc>
          <w:tcPr>
            <w:tcW w:w="7473" w:type="dxa"/>
            <w:tcBorders>
              <w:top w:val="single" w:sz="4" w:space="0" w:color="A59C94"/>
              <w:bottom w:val="single" w:sz="4" w:space="0" w:color="A59C94"/>
            </w:tcBorders>
            <w:noWrap/>
            <w:vAlign w:val="bottom"/>
          </w:tcPr>
          <w:p w14:paraId="1B9A65EC" w14:textId="77777777" w:rsidR="00BC5817" w:rsidRPr="009303F4" w:rsidRDefault="00BC5817" w:rsidP="00D300B1">
            <w:pPr>
              <w:pStyle w:val="TBodynormalText"/>
              <w:rPr>
                <w:lang w:val="en-US"/>
              </w:rPr>
            </w:pPr>
            <w:r w:rsidRPr="009303F4">
              <w:rPr>
                <w:lang w:val="en-US"/>
              </w:rPr>
              <w:t>Enabling Functions, Other Activities, Consolidation</w:t>
            </w:r>
          </w:p>
        </w:tc>
        <w:tc>
          <w:tcPr>
            <w:tcW w:w="119" w:type="dxa"/>
            <w:noWrap/>
            <w:vAlign w:val="bottom"/>
          </w:tcPr>
          <w:p w14:paraId="0D44CD74" w14:textId="77777777" w:rsidR="00BC5817" w:rsidRPr="009303F4" w:rsidRDefault="00BC5817" w:rsidP="00D300B1">
            <w:pPr>
              <w:pStyle w:val="TBodynormalNumber"/>
              <w:keepNext/>
              <w:rPr>
                <w:lang w:val="en-US"/>
              </w:rPr>
            </w:pPr>
            <w:r w:rsidRPr="009303F4">
              <w:rPr>
                <w:lang w:val="en-US"/>
              </w:rPr>
              <w:t> </w:t>
            </w:r>
          </w:p>
        </w:tc>
        <w:tc>
          <w:tcPr>
            <w:tcW w:w="1021" w:type="dxa"/>
            <w:tcBorders>
              <w:top w:val="single" w:sz="4" w:space="0" w:color="A59C94"/>
              <w:bottom w:val="single" w:sz="4" w:space="0" w:color="A59C94"/>
            </w:tcBorders>
            <w:noWrap/>
            <w:vAlign w:val="bottom"/>
          </w:tcPr>
          <w:p w14:paraId="238A8FE4" w14:textId="77777777" w:rsidR="00BC5817" w:rsidRDefault="00BC5817" w:rsidP="00D300B1">
            <w:pPr>
              <w:pStyle w:val="TBodynormalNumber"/>
              <w:keepNext/>
            </w:pPr>
            <w:r>
              <w:t>5,762</w:t>
            </w:r>
          </w:p>
        </w:tc>
        <w:tc>
          <w:tcPr>
            <w:tcW w:w="119" w:type="dxa"/>
            <w:noWrap/>
            <w:vAlign w:val="bottom"/>
          </w:tcPr>
          <w:p w14:paraId="15BEF2E0" w14:textId="77777777" w:rsidR="00BC5817" w:rsidRDefault="00BC5817" w:rsidP="00D300B1">
            <w:pPr>
              <w:pStyle w:val="TBodynormalNumber"/>
              <w:keepNext/>
            </w:pPr>
            <w:r>
              <w:t> </w:t>
            </w:r>
          </w:p>
        </w:tc>
        <w:tc>
          <w:tcPr>
            <w:tcW w:w="1021" w:type="dxa"/>
            <w:tcBorders>
              <w:top w:val="single" w:sz="4" w:space="0" w:color="A59C94"/>
              <w:bottom w:val="single" w:sz="4" w:space="0" w:color="A59C94"/>
            </w:tcBorders>
            <w:shd w:val="clear" w:color="000000" w:fill="DAD5C9"/>
            <w:noWrap/>
            <w:vAlign w:val="bottom"/>
          </w:tcPr>
          <w:p w14:paraId="59783512" w14:textId="77777777" w:rsidR="00BC5817" w:rsidRDefault="00BC5817" w:rsidP="00D300B1">
            <w:pPr>
              <w:pStyle w:val="TBodynormalNumber"/>
              <w:keepNext/>
            </w:pPr>
            <w:r>
              <w:t>5,683</w:t>
            </w:r>
          </w:p>
        </w:tc>
      </w:tr>
      <w:tr w:rsidR="00BC5817" w14:paraId="74565BE7" w14:textId="77777777" w:rsidTr="00D300B1">
        <w:tc>
          <w:tcPr>
            <w:tcW w:w="7473" w:type="dxa"/>
            <w:tcBorders>
              <w:top w:val="single" w:sz="4" w:space="0" w:color="A59C94"/>
              <w:bottom w:val="single" w:sz="16" w:space="0" w:color="991D85"/>
            </w:tcBorders>
            <w:noWrap/>
            <w:vAlign w:val="bottom"/>
          </w:tcPr>
          <w:p w14:paraId="47429CF6" w14:textId="77777777" w:rsidR="00BC5817" w:rsidRDefault="00BC5817" w:rsidP="00D300B1">
            <w:pPr>
              <w:pStyle w:val="TBodytotalText"/>
            </w:pPr>
            <w:bookmarkStart w:id="16" w:name="RANGE!B60:F60"/>
            <w:r>
              <w:rPr>
                <w:bCs/>
              </w:rPr>
              <w:t>Group</w:t>
            </w:r>
            <w:bookmarkEnd w:id="16"/>
          </w:p>
        </w:tc>
        <w:tc>
          <w:tcPr>
            <w:tcW w:w="119" w:type="dxa"/>
            <w:tcBorders>
              <w:bottom w:val="single" w:sz="16" w:space="0" w:color="991D85"/>
            </w:tcBorders>
            <w:noWrap/>
            <w:vAlign w:val="bottom"/>
          </w:tcPr>
          <w:p w14:paraId="618C76B0" w14:textId="77777777" w:rsidR="00BC5817" w:rsidRDefault="00BC5817" w:rsidP="00D300B1">
            <w:pPr>
              <w:pStyle w:val="TBodytotalNumber"/>
            </w:pPr>
            <w:r>
              <w:rPr>
                <w:bCs/>
              </w:rPr>
              <w:t> </w:t>
            </w:r>
          </w:p>
        </w:tc>
        <w:tc>
          <w:tcPr>
            <w:tcW w:w="1021" w:type="dxa"/>
            <w:tcBorders>
              <w:top w:val="single" w:sz="4" w:space="0" w:color="A59C94"/>
              <w:bottom w:val="single" w:sz="16" w:space="0" w:color="991D85"/>
            </w:tcBorders>
            <w:noWrap/>
            <w:vAlign w:val="bottom"/>
          </w:tcPr>
          <w:p w14:paraId="64B2184D" w14:textId="77777777" w:rsidR="00BC5817" w:rsidRDefault="00BC5817" w:rsidP="00D300B1">
            <w:pPr>
              <w:pStyle w:val="TBodytotalNumber"/>
            </w:pPr>
            <w:r>
              <w:t>33,106</w:t>
            </w:r>
          </w:p>
        </w:tc>
        <w:tc>
          <w:tcPr>
            <w:tcW w:w="119" w:type="dxa"/>
            <w:tcBorders>
              <w:bottom w:val="single" w:sz="16" w:space="0" w:color="991D85"/>
            </w:tcBorders>
            <w:noWrap/>
            <w:vAlign w:val="bottom"/>
          </w:tcPr>
          <w:p w14:paraId="1F5B1E10" w14:textId="77777777" w:rsidR="00BC5817" w:rsidRDefault="00BC5817" w:rsidP="00D300B1">
            <w:pPr>
              <w:pStyle w:val="TBodytotalNumber"/>
            </w:pPr>
            <w:r>
              <w:t> </w:t>
            </w:r>
          </w:p>
        </w:tc>
        <w:tc>
          <w:tcPr>
            <w:tcW w:w="1021" w:type="dxa"/>
            <w:tcBorders>
              <w:top w:val="single" w:sz="4" w:space="0" w:color="A59C94"/>
              <w:bottom w:val="single" w:sz="16" w:space="0" w:color="991D85"/>
            </w:tcBorders>
            <w:shd w:val="clear" w:color="000000" w:fill="DAD5C9"/>
            <w:noWrap/>
            <w:vAlign w:val="bottom"/>
          </w:tcPr>
          <w:p w14:paraId="059D085C" w14:textId="77777777" w:rsidR="00BC5817" w:rsidRDefault="00BC5817" w:rsidP="00D300B1">
            <w:pPr>
              <w:pStyle w:val="TBodytotalNumber"/>
            </w:pPr>
            <w:r>
              <w:t>32,745</w:t>
            </w:r>
          </w:p>
        </w:tc>
      </w:tr>
      <w:bookmarkEnd w:id="13"/>
    </w:tbl>
    <w:p w14:paraId="5B585F13" w14:textId="77777777" w:rsidR="004F1918" w:rsidRPr="00A525CB" w:rsidRDefault="004F1918" w:rsidP="008A2674">
      <w:pPr>
        <w:tabs>
          <w:tab w:val="left" w:pos="6521"/>
        </w:tabs>
        <w:ind w:right="339"/>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8E77" w14:textId="77777777" w:rsidR="00C46D85" w:rsidRDefault="00C46D85" w:rsidP="00FD1184">
      <w:r>
        <w:separator/>
      </w:r>
    </w:p>
  </w:endnote>
  <w:endnote w:type="continuationSeparator" w:id="0">
    <w:p w14:paraId="555C6ED1" w14:textId="77777777" w:rsidR="00C46D85" w:rsidRDefault="00C46D8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A2F4" w14:textId="77777777" w:rsidR="00C46D85" w:rsidRDefault="00C46D85" w:rsidP="00FD1184">
      <w:r>
        <w:separator/>
      </w:r>
    </w:p>
  </w:footnote>
  <w:footnote w:type="continuationSeparator" w:id="0">
    <w:p w14:paraId="12323183" w14:textId="77777777" w:rsidR="00C46D85" w:rsidRDefault="00C46D8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E2806"/>
    <w:multiLevelType w:val="hybridMultilevel"/>
    <w:tmpl w:val="771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B2752"/>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675A2"/>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E6DDC"/>
    <w:rsid w:val="001F7C26"/>
    <w:rsid w:val="0021636E"/>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C4CF7"/>
    <w:rsid w:val="002D206A"/>
    <w:rsid w:val="002D2599"/>
    <w:rsid w:val="002D2996"/>
    <w:rsid w:val="002D5F0C"/>
    <w:rsid w:val="002F286E"/>
    <w:rsid w:val="002F364E"/>
    <w:rsid w:val="002F49B3"/>
    <w:rsid w:val="00301998"/>
    <w:rsid w:val="00306342"/>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1902"/>
    <w:rsid w:val="00473B7A"/>
    <w:rsid w:val="004768E3"/>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052"/>
    <w:rsid w:val="004E1DCE"/>
    <w:rsid w:val="004E2B43"/>
    <w:rsid w:val="004E3505"/>
    <w:rsid w:val="004E4003"/>
    <w:rsid w:val="004F06D8"/>
    <w:rsid w:val="004F0B24"/>
    <w:rsid w:val="004F0DCC"/>
    <w:rsid w:val="004F1444"/>
    <w:rsid w:val="004F1918"/>
    <w:rsid w:val="004F59E4"/>
    <w:rsid w:val="004F7D3F"/>
    <w:rsid w:val="00504999"/>
    <w:rsid w:val="00506BD8"/>
    <w:rsid w:val="00512998"/>
    <w:rsid w:val="00516C49"/>
    <w:rsid w:val="005225EC"/>
    <w:rsid w:val="005265E5"/>
    <w:rsid w:val="00526FF2"/>
    <w:rsid w:val="00527801"/>
    <w:rsid w:val="00532B88"/>
    <w:rsid w:val="00536E02"/>
    <w:rsid w:val="00537A93"/>
    <w:rsid w:val="00544050"/>
    <w:rsid w:val="00551565"/>
    <w:rsid w:val="00551A40"/>
    <w:rsid w:val="00552ADA"/>
    <w:rsid w:val="00561895"/>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25B7"/>
    <w:rsid w:val="005C5615"/>
    <w:rsid w:val="005E3211"/>
    <w:rsid w:val="005E56F7"/>
    <w:rsid w:val="005E6AE3"/>
    <w:rsid w:val="005E799F"/>
    <w:rsid w:val="005F06D6"/>
    <w:rsid w:val="005F234C"/>
    <w:rsid w:val="005F50D9"/>
    <w:rsid w:val="0060031A"/>
    <w:rsid w:val="00600E86"/>
    <w:rsid w:val="00602E6A"/>
    <w:rsid w:val="00605C02"/>
    <w:rsid w:val="00606A38"/>
    <w:rsid w:val="00620C56"/>
    <w:rsid w:val="00622130"/>
    <w:rsid w:val="00625F86"/>
    <w:rsid w:val="0062721A"/>
    <w:rsid w:val="00630EFE"/>
    <w:rsid w:val="0063459B"/>
    <w:rsid w:val="00635F70"/>
    <w:rsid w:val="0064061E"/>
    <w:rsid w:val="0064405E"/>
    <w:rsid w:val="00645F2F"/>
    <w:rsid w:val="00652A75"/>
    <w:rsid w:val="006550F4"/>
    <w:rsid w:val="006643FE"/>
    <w:rsid w:val="006651E2"/>
    <w:rsid w:val="006704DE"/>
    <w:rsid w:val="00670EDF"/>
    <w:rsid w:val="00675206"/>
    <w:rsid w:val="0067750D"/>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10B4"/>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148"/>
    <w:rsid w:val="008623CF"/>
    <w:rsid w:val="008645BB"/>
    <w:rsid w:val="0088463B"/>
    <w:rsid w:val="0088508F"/>
    <w:rsid w:val="00885442"/>
    <w:rsid w:val="00885DA9"/>
    <w:rsid w:val="00893C42"/>
    <w:rsid w:val="00897078"/>
    <w:rsid w:val="008A0D35"/>
    <w:rsid w:val="008A2674"/>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377E5"/>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C5817"/>
    <w:rsid w:val="00BC587D"/>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46D85"/>
    <w:rsid w:val="00C60F15"/>
    <w:rsid w:val="00C61046"/>
    <w:rsid w:val="00C7172D"/>
    <w:rsid w:val="00C74DCE"/>
    <w:rsid w:val="00C930F0"/>
    <w:rsid w:val="00C94042"/>
    <w:rsid w:val="00CA51D2"/>
    <w:rsid w:val="00CA6F45"/>
    <w:rsid w:val="00CB280A"/>
    <w:rsid w:val="00CB2A16"/>
    <w:rsid w:val="00CB3A53"/>
    <w:rsid w:val="00CB3A95"/>
    <w:rsid w:val="00CB585B"/>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06DA"/>
    <w:rsid w:val="00DD3B70"/>
    <w:rsid w:val="00DE534A"/>
    <w:rsid w:val="00E012F7"/>
    <w:rsid w:val="00E05BB2"/>
    <w:rsid w:val="00E10CAC"/>
    <w:rsid w:val="00E120CF"/>
    <w:rsid w:val="00E172A1"/>
    <w:rsid w:val="00E17C9E"/>
    <w:rsid w:val="00E17FDD"/>
    <w:rsid w:val="00E20380"/>
    <w:rsid w:val="00E273A7"/>
    <w:rsid w:val="00E31CB7"/>
    <w:rsid w:val="00E363F0"/>
    <w:rsid w:val="00E430EA"/>
    <w:rsid w:val="00E44B62"/>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246ED"/>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210506_IR News Q1 2021_EN</Description0>
    <DocumentTitle xmlns="3900a7cd-735b-4f56-a6f4-08d139dd6cc3">210506_IR News Q1 2021_EN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6926AECC-AACB-4FBA-961C-3126C7BCC2B5}"/>
</file>

<file path=customXml/itemProps3.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F2635-C9B2-4B5E-B4AF-C93494BA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7029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Gayk, Katharina</cp:lastModifiedBy>
  <cp:revision>7</cp:revision>
  <cp:lastPrinted>2021-05-05T12:58:00Z</cp:lastPrinted>
  <dcterms:created xsi:type="dcterms:W3CDTF">2021-05-05T12:55:00Z</dcterms:created>
  <dcterms:modified xsi:type="dcterms:W3CDTF">2021-05-05T12:59:00Z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2021-05-05T12:54:21Z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4a774f73-72cc-4139-8f7f-4898c2f9d7ce</vt:lpwstr>
  </property>
  <property fmtid="{D5CDD505-2E9C-101B-9397-08002B2CF9AE}" pid="9" name="MSIP_Label_18096688-517a-4098-8c5c-96839cb46b00_ContentBits">
    <vt:lpwstr>2</vt:lpwstr>
  </property>
</Properties>
</file>