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63EB9B8D" w:rsidR="004F1918" w:rsidRPr="004F1918" w:rsidRDefault="00E45513" w:rsidP="004F1918">
            <w:pPr>
              <w:pStyle w:val="M7"/>
              <w:framePr w:wrap="auto" w:vAnchor="margin" w:hAnchor="text" w:xAlign="left" w:yAlign="inline"/>
              <w:suppressOverlap w:val="0"/>
              <w:rPr>
                <w:b w:val="0"/>
                <w:sz w:val="18"/>
                <w:szCs w:val="18"/>
                <w:lang w:val="en-US"/>
              </w:rPr>
            </w:pPr>
            <w:r>
              <w:rPr>
                <w:b w:val="0"/>
                <w:sz w:val="18"/>
                <w:szCs w:val="18"/>
                <w:lang w:val="en-US"/>
              </w:rPr>
              <w:t>August 5</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44483F02" w14:textId="15A368D4" w:rsidR="004F1918" w:rsidRPr="00F31F7C" w:rsidRDefault="004F1918" w:rsidP="00394407">
            <w:pPr>
              <w:spacing w:line="180" w:lineRule="exact"/>
              <w:rPr>
                <w:lang w:val="en-US"/>
              </w:rPr>
            </w:pP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53F1EDE9" w14:textId="01AC383C" w:rsidR="004768E3" w:rsidRPr="004C6AC3" w:rsidRDefault="004768E3" w:rsidP="004768E3">
      <w:pPr>
        <w:pStyle w:val="Titel"/>
        <w:rPr>
          <w:b w:val="0"/>
          <w:sz w:val="20"/>
          <w:szCs w:val="20"/>
          <w:u w:val="single"/>
          <w:lang w:val="en-US"/>
        </w:rPr>
      </w:pPr>
      <w:r w:rsidRPr="004C6AC3">
        <w:rPr>
          <w:b w:val="0"/>
          <w:sz w:val="20"/>
          <w:szCs w:val="20"/>
          <w:u w:val="single"/>
          <w:lang w:val="en-US"/>
        </w:rPr>
        <w:t>Key Financial Data</w:t>
      </w:r>
      <w:r w:rsidR="00E45513">
        <w:rPr>
          <w:b w:val="0"/>
          <w:sz w:val="20"/>
          <w:szCs w:val="20"/>
          <w:u w:val="single"/>
          <w:lang w:val="en-US"/>
        </w:rPr>
        <w:t>: Second</w:t>
      </w:r>
      <w:r>
        <w:rPr>
          <w:b w:val="0"/>
          <w:sz w:val="20"/>
          <w:szCs w:val="20"/>
          <w:u w:val="single"/>
          <w:lang w:val="en-US"/>
        </w:rPr>
        <w:t xml:space="preserve"> quarter 2021</w:t>
      </w:r>
    </w:p>
    <w:p w14:paraId="6AE80AEE" w14:textId="49DBE3B4" w:rsidR="004768E3" w:rsidRDefault="004768E3" w:rsidP="004768E3">
      <w:pPr>
        <w:rPr>
          <w:b/>
          <w:bCs/>
          <w:sz w:val="24"/>
          <w:lang w:val="en-US"/>
        </w:rPr>
      </w:pPr>
    </w:p>
    <w:p w14:paraId="13BB5459" w14:textId="77777777" w:rsidR="00D15DDE" w:rsidRDefault="00D15DDE" w:rsidP="004768E3">
      <w:pPr>
        <w:rPr>
          <w:b/>
          <w:bCs/>
          <w:sz w:val="24"/>
          <w:lang w:val="en-US"/>
        </w:rPr>
      </w:pPr>
    </w:p>
    <w:p w14:paraId="221C871D" w14:textId="77777777" w:rsidR="00402DF6" w:rsidRDefault="00402DF6" w:rsidP="00402DF6">
      <w:pPr>
        <w:rPr>
          <w:b/>
          <w:bCs/>
          <w:sz w:val="24"/>
          <w:lang w:val="en-US"/>
        </w:rPr>
      </w:pPr>
      <w:r w:rsidRPr="00150687">
        <w:rPr>
          <w:b/>
          <w:bCs/>
          <w:sz w:val="24"/>
          <w:lang w:val="en-US"/>
        </w:rPr>
        <w:t>Evonik</w:t>
      </w:r>
      <w:r>
        <w:rPr>
          <w:b/>
          <w:bCs/>
          <w:sz w:val="24"/>
          <w:lang w:val="en-US"/>
        </w:rPr>
        <w:t xml:space="preserve"> grows strongly in the first half of the year and raises outlook for 2021</w:t>
      </w:r>
    </w:p>
    <w:p w14:paraId="6AB61D9A" w14:textId="77777777" w:rsidR="004768E3" w:rsidRPr="00DD5429" w:rsidRDefault="004768E3" w:rsidP="004768E3">
      <w:pPr>
        <w:rPr>
          <w:lang w:val="en-US"/>
        </w:rPr>
      </w:pPr>
    </w:p>
    <w:p w14:paraId="0611FFB2" w14:textId="77777777" w:rsidR="0040105C" w:rsidRPr="00DA7FB7" w:rsidRDefault="0040105C" w:rsidP="0040105C">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Sales rise 29 percent in second quarter, a</w:t>
      </w:r>
      <w:r w:rsidRPr="00DD5429">
        <w:rPr>
          <w:rFonts w:cs="Lucida Sans Unicode"/>
          <w:sz w:val="24"/>
          <w:lang w:val="en-US"/>
        </w:rPr>
        <w:t xml:space="preserve">djusted EBITDA </w:t>
      </w:r>
      <w:r>
        <w:rPr>
          <w:rFonts w:cs="Lucida Sans Unicode"/>
          <w:sz w:val="24"/>
          <w:lang w:val="en-US"/>
        </w:rPr>
        <w:t xml:space="preserve">gains 42 percent </w:t>
      </w:r>
    </w:p>
    <w:p w14:paraId="7B8B1113" w14:textId="77777777" w:rsidR="0040105C" w:rsidRDefault="0040105C" w:rsidP="0040105C">
      <w:pPr>
        <w:numPr>
          <w:ilvl w:val="0"/>
          <w:numId w:val="32"/>
        </w:numPr>
        <w:tabs>
          <w:tab w:val="clear" w:pos="1425"/>
          <w:tab w:val="num" w:pos="340"/>
        </w:tabs>
        <w:ind w:left="340" w:right="85" w:hanging="340"/>
        <w:rPr>
          <w:rFonts w:cs="Lucida Sans Unicode"/>
          <w:sz w:val="24"/>
          <w:lang w:val="en-US"/>
        </w:rPr>
      </w:pPr>
      <w:r w:rsidRPr="00605751">
        <w:rPr>
          <w:rFonts w:cs="Lucida Sans Unicode"/>
          <w:sz w:val="24"/>
          <w:lang w:val="en-US"/>
        </w:rPr>
        <w:t>All three growth divisions deliver results above pre-crisis levels of 2019</w:t>
      </w:r>
    </w:p>
    <w:p w14:paraId="211AF5B3" w14:textId="77777777" w:rsidR="0040105C" w:rsidRDefault="0040105C" w:rsidP="0040105C">
      <w:pPr>
        <w:numPr>
          <w:ilvl w:val="0"/>
          <w:numId w:val="32"/>
        </w:numPr>
        <w:tabs>
          <w:tab w:val="clear" w:pos="1425"/>
          <w:tab w:val="num" w:pos="340"/>
        </w:tabs>
        <w:ind w:left="340" w:right="85" w:hanging="340"/>
        <w:rPr>
          <w:rFonts w:cs="Lucida Sans Unicode"/>
          <w:sz w:val="24"/>
          <w:lang w:val="en-US"/>
        </w:rPr>
      </w:pPr>
      <w:r w:rsidRPr="00605751">
        <w:rPr>
          <w:rFonts w:cs="Lucida Sans Unicode"/>
          <w:sz w:val="24"/>
          <w:lang w:val="en-US"/>
        </w:rPr>
        <w:t xml:space="preserve">Outlook </w:t>
      </w:r>
      <w:r>
        <w:rPr>
          <w:rFonts w:cs="Lucida Sans Unicode"/>
          <w:sz w:val="24"/>
          <w:lang w:val="en-US"/>
        </w:rPr>
        <w:t xml:space="preserve">2021: </w:t>
      </w:r>
      <w:r w:rsidRPr="00605751">
        <w:rPr>
          <w:rFonts w:cs="Lucida Sans Unicode"/>
          <w:sz w:val="24"/>
          <w:lang w:val="en-US"/>
        </w:rPr>
        <w:t xml:space="preserve">Adjusted EBITDA now </w:t>
      </w:r>
      <w:r>
        <w:rPr>
          <w:rFonts w:cs="Lucida Sans Unicode"/>
          <w:sz w:val="24"/>
          <w:lang w:val="en-US"/>
        </w:rPr>
        <w:t>expected to be</w:t>
      </w:r>
    </w:p>
    <w:p w14:paraId="225087CE" w14:textId="6CC41F20" w:rsidR="0040105C" w:rsidRPr="00605751" w:rsidRDefault="0040105C" w:rsidP="0040105C">
      <w:pPr>
        <w:ind w:right="85" w:firstLine="426"/>
        <w:rPr>
          <w:rFonts w:cs="Lucida Sans Unicode"/>
          <w:sz w:val="24"/>
          <w:lang w:val="en-US"/>
        </w:rPr>
      </w:pPr>
      <w:r>
        <w:rPr>
          <w:rFonts w:cs="Lucida Sans Unicode"/>
          <w:sz w:val="24"/>
          <w:lang w:val="en-US"/>
        </w:rPr>
        <w:t>€</w:t>
      </w:r>
      <w:r w:rsidRPr="00605751">
        <w:rPr>
          <w:rFonts w:cs="Lucida Sans Unicode"/>
          <w:sz w:val="24"/>
          <w:lang w:val="en-US"/>
        </w:rPr>
        <w:t xml:space="preserve">2.3 billion </w:t>
      </w:r>
      <w:r>
        <w:rPr>
          <w:rFonts w:cs="Lucida Sans Unicode"/>
          <w:sz w:val="24"/>
          <w:lang w:val="en-US"/>
        </w:rPr>
        <w:t>to</w:t>
      </w:r>
      <w:r w:rsidRPr="00605751">
        <w:rPr>
          <w:rFonts w:cs="Lucida Sans Unicode"/>
          <w:sz w:val="24"/>
          <w:lang w:val="en-US"/>
        </w:rPr>
        <w:t xml:space="preserve"> €2.4 billion</w:t>
      </w:r>
    </w:p>
    <w:p w14:paraId="1917C361" w14:textId="77777777" w:rsidR="00605F85" w:rsidRDefault="00605F85" w:rsidP="00605F85">
      <w:pPr>
        <w:tabs>
          <w:tab w:val="left" w:pos="426"/>
        </w:tabs>
        <w:rPr>
          <w:b/>
          <w:bCs/>
          <w:lang w:val="en-US"/>
        </w:rPr>
      </w:pPr>
    </w:p>
    <w:p w14:paraId="3FAF2639" w14:textId="1006C038" w:rsidR="00605F85" w:rsidRDefault="00605F85" w:rsidP="00605F85">
      <w:pPr>
        <w:rPr>
          <w:lang w:val="en-US"/>
        </w:rPr>
      </w:pPr>
      <w:r w:rsidRPr="00DD5429">
        <w:rPr>
          <w:b/>
          <w:bCs/>
          <w:lang w:val="en-US"/>
        </w:rPr>
        <w:t>Essen, Germany</w:t>
      </w:r>
      <w:r w:rsidRPr="00DD5429">
        <w:rPr>
          <w:lang w:val="en-US"/>
        </w:rPr>
        <w:t xml:space="preserve">. </w:t>
      </w:r>
      <w:r>
        <w:rPr>
          <w:lang w:val="en-US"/>
        </w:rPr>
        <w:t xml:space="preserve">Evonik has raised its outlook for 2021 after posting strong earnings in the first half. </w:t>
      </w:r>
      <w:r w:rsidRPr="00605751">
        <w:rPr>
          <w:lang w:val="en-US"/>
        </w:rPr>
        <w:t>Demand for Evonik products increased significantly worldwide</w:t>
      </w:r>
      <w:r>
        <w:rPr>
          <w:lang w:val="en-US"/>
        </w:rPr>
        <w:t xml:space="preserve"> with </w:t>
      </w:r>
      <w:r w:rsidRPr="00605751">
        <w:rPr>
          <w:lang w:val="en-US"/>
        </w:rPr>
        <w:t xml:space="preserve">sales prices also </w:t>
      </w:r>
      <w:r>
        <w:rPr>
          <w:lang w:val="en-US"/>
        </w:rPr>
        <w:t>rising</w:t>
      </w:r>
      <w:r w:rsidRPr="00605751">
        <w:rPr>
          <w:lang w:val="en-US"/>
        </w:rPr>
        <w:t>.</w:t>
      </w:r>
    </w:p>
    <w:p w14:paraId="3D5A2536" w14:textId="77777777" w:rsidR="00605F85" w:rsidRDefault="00605F85" w:rsidP="00605F85">
      <w:pPr>
        <w:rPr>
          <w:lang w:val="en-US"/>
        </w:rPr>
      </w:pPr>
    </w:p>
    <w:p w14:paraId="46524D8D" w14:textId="77777777" w:rsidR="00605F85" w:rsidRDefault="00605F85" w:rsidP="00605F85">
      <w:pPr>
        <w:rPr>
          <w:lang w:val="en-US"/>
        </w:rPr>
      </w:pPr>
      <w:r w:rsidRPr="00150687">
        <w:rPr>
          <w:lang w:val="en-US"/>
        </w:rPr>
        <w:t>"</w:t>
      </w:r>
      <w:r>
        <w:rPr>
          <w:lang w:val="en-US"/>
        </w:rPr>
        <w:t>We have emerged out of the crisis stronger than before and have made substantial gains in the first half</w:t>
      </w:r>
      <w:r w:rsidRPr="00150687">
        <w:rPr>
          <w:lang w:val="en-US"/>
        </w:rPr>
        <w:t>," sa</w:t>
      </w:r>
      <w:r>
        <w:rPr>
          <w:lang w:val="en-US"/>
        </w:rPr>
        <w:t>id</w:t>
      </w:r>
      <w:r w:rsidRPr="00150687">
        <w:rPr>
          <w:lang w:val="en-US"/>
        </w:rPr>
        <w:t xml:space="preserve"> Christian Kullmann,</w:t>
      </w:r>
      <w:r>
        <w:rPr>
          <w:lang w:val="en-US"/>
        </w:rPr>
        <w:t xml:space="preserve"> c</w:t>
      </w:r>
      <w:r w:rsidRPr="00150687">
        <w:rPr>
          <w:lang w:val="en-US"/>
        </w:rPr>
        <w:t xml:space="preserve">hairman of the </w:t>
      </w:r>
      <w:r>
        <w:rPr>
          <w:lang w:val="en-US"/>
        </w:rPr>
        <w:t>b</w:t>
      </w:r>
      <w:r w:rsidRPr="00150687">
        <w:rPr>
          <w:lang w:val="en-US"/>
        </w:rPr>
        <w:t xml:space="preserve">oard of </w:t>
      </w:r>
      <w:r>
        <w:rPr>
          <w:lang w:val="en-US"/>
        </w:rPr>
        <w:t>m</w:t>
      </w:r>
      <w:r w:rsidRPr="00150687">
        <w:rPr>
          <w:lang w:val="en-US"/>
        </w:rPr>
        <w:t>anagement. "</w:t>
      </w:r>
      <w:r>
        <w:rPr>
          <w:lang w:val="en-US"/>
        </w:rPr>
        <w:t xml:space="preserve">This positive dynamic will continue into the second half. </w:t>
      </w:r>
      <w:r w:rsidRPr="001C4121">
        <w:rPr>
          <w:lang w:val="en-US"/>
        </w:rPr>
        <w:t>Th</w:t>
      </w:r>
      <w:r>
        <w:rPr>
          <w:lang w:val="en-US"/>
        </w:rPr>
        <w:t>erefore,</w:t>
      </w:r>
      <w:r w:rsidRPr="001C4121">
        <w:rPr>
          <w:lang w:val="en-US"/>
        </w:rPr>
        <w:t xml:space="preserve"> we </w:t>
      </w:r>
      <w:r>
        <w:rPr>
          <w:lang w:val="en-US"/>
        </w:rPr>
        <w:t xml:space="preserve">are </w:t>
      </w:r>
      <w:r w:rsidRPr="001C4121">
        <w:rPr>
          <w:lang w:val="en-US"/>
        </w:rPr>
        <w:t>confiden</w:t>
      </w:r>
      <w:r>
        <w:rPr>
          <w:lang w:val="en-US"/>
        </w:rPr>
        <w:t>t</w:t>
      </w:r>
      <w:r w:rsidRPr="001C4121">
        <w:rPr>
          <w:lang w:val="en-US"/>
        </w:rPr>
        <w:t xml:space="preserve"> </w:t>
      </w:r>
      <w:r>
        <w:rPr>
          <w:lang w:val="en-US"/>
        </w:rPr>
        <w:t xml:space="preserve">about </w:t>
      </w:r>
      <w:r w:rsidRPr="001C4121">
        <w:rPr>
          <w:lang w:val="en-US"/>
        </w:rPr>
        <w:t>rais</w:t>
      </w:r>
      <w:r>
        <w:rPr>
          <w:lang w:val="en-US"/>
        </w:rPr>
        <w:t>ing</w:t>
      </w:r>
      <w:r w:rsidRPr="001C4121">
        <w:rPr>
          <w:lang w:val="en-US"/>
        </w:rPr>
        <w:t xml:space="preserve"> our outlook. </w:t>
      </w:r>
      <w:r>
        <w:rPr>
          <w:lang w:val="en-US"/>
        </w:rPr>
        <w:t>From today’s perspective</w:t>
      </w:r>
      <w:r w:rsidRPr="001C4121">
        <w:rPr>
          <w:lang w:val="en-US"/>
        </w:rPr>
        <w:t xml:space="preserve"> we will even end up in the upper part of th</w:t>
      </w:r>
      <w:r>
        <w:rPr>
          <w:lang w:val="en-US"/>
        </w:rPr>
        <w:t>e</w:t>
      </w:r>
      <w:r w:rsidRPr="001C4121">
        <w:rPr>
          <w:lang w:val="en-US"/>
        </w:rPr>
        <w:t xml:space="preserve"> range.</w:t>
      </w:r>
      <w:r>
        <w:rPr>
          <w:lang w:val="en-US"/>
        </w:rPr>
        <w:t>”</w:t>
      </w:r>
    </w:p>
    <w:p w14:paraId="5E75F842" w14:textId="77777777" w:rsidR="00605F85" w:rsidRDefault="00605F85" w:rsidP="00605F85">
      <w:pPr>
        <w:rPr>
          <w:lang w:val="en-US"/>
        </w:rPr>
      </w:pPr>
    </w:p>
    <w:p w14:paraId="6EC1D43D" w14:textId="77777777" w:rsidR="00605F85" w:rsidRDefault="00605F85" w:rsidP="00605F85">
      <w:pPr>
        <w:rPr>
          <w:lang w:val="en-US"/>
        </w:rPr>
      </w:pPr>
      <w:r>
        <w:rPr>
          <w:lang w:val="en-US"/>
        </w:rPr>
        <w:t xml:space="preserve">For 2021 Evonik now expects adjusted </w:t>
      </w:r>
      <w:r w:rsidRPr="00150687">
        <w:rPr>
          <w:lang w:val="en-US"/>
        </w:rPr>
        <w:t xml:space="preserve">earnings before interest, taxes, </w:t>
      </w:r>
      <w:proofErr w:type="gramStart"/>
      <w:r w:rsidRPr="00150687">
        <w:rPr>
          <w:lang w:val="en-US"/>
        </w:rPr>
        <w:t>depreciation</w:t>
      </w:r>
      <w:proofErr w:type="gramEnd"/>
      <w:r w:rsidRPr="00150687">
        <w:rPr>
          <w:lang w:val="en-US"/>
        </w:rPr>
        <w:t xml:space="preserve"> and amortization (</w:t>
      </w:r>
      <w:r>
        <w:rPr>
          <w:lang w:val="en-US"/>
        </w:rPr>
        <w:t xml:space="preserve">adjusted </w:t>
      </w:r>
      <w:r w:rsidRPr="00150687">
        <w:rPr>
          <w:lang w:val="en-US"/>
        </w:rPr>
        <w:t>EBITDA)</w:t>
      </w:r>
      <w:r>
        <w:rPr>
          <w:lang w:val="en-US"/>
        </w:rPr>
        <w:t xml:space="preserve"> of between </w:t>
      </w:r>
      <w:r w:rsidRPr="00150687">
        <w:rPr>
          <w:lang w:val="en-US"/>
        </w:rPr>
        <w:t>€</w:t>
      </w:r>
      <w:r>
        <w:rPr>
          <w:lang w:val="en-US"/>
        </w:rPr>
        <w:t>2.3</w:t>
      </w:r>
      <w:r w:rsidRPr="00150687">
        <w:rPr>
          <w:lang w:val="en-US"/>
        </w:rPr>
        <w:t xml:space="preserve"> billion </w:t>
      </w:r>
      <w:r>
        <w:rPr>
          <w:lang w:val="en-US"/>
        </w:rPr>
        <w:t xml:space="preserve">and </w:t>
      </w:r>
      <w:r w:rsidRPr="00150687">
        <w:rPr>
          <w:lang w:val="en-US"/>
        </w:rPr>
        <w:t>€</w:t>
      </w:r>
      <w:r>
        <w:rPr>
          <w:lang w:val="en-US"/>
        </w:rPr>
        <w:t>2.4</w:t>
      </w:r>
      <w:r w:rsidRPr="00150687">
        <w:rPr>
          <w:lang w:val="en-US"/>
        </w:rPr>
        <w:t xml:space="preserve"> billion</w:t>
      </w:r>
      <w:r w:rsidRPr="00AE2946">
        <w:rPr>
          <w:lang w:val="en-US"/>
        </w:rPr>
        <w:t xml:space="preserve"> </w:t>
      </w:r>
      <w:r>
        <w:rPr>
          <w:lang w:val="en-US"/>
        </w:rPr>
        <w:t>for the full year. Previously the range was €2.1 billion to €2.3 billion. The outlook for s</w:t>
      </w:r>
      <w:r w:rsidRPr="00C27550">
        <w:rPr>
          <w:lang w:val="en-US"/>
        </w:rPr>
        <w:t xml:space="preserve">ales </w:t>
      </w:r>
      <w:r>
        <w:rPr>
          <w:lang w:val="en-US"/>
        </w:rPr>
        <w:t xml:space="preserve">is now €13 billion to €14.5 billion, up from a previously expected </w:t>
      </w:r>
      <w:r w:rsidRPr="00C27550">
        <w:rPr>
          <w:lang w:val="en-US"/>
        </w:rPr>
        <w:t xml:space="preserve">€12 billion </w:t>
      </w:r>
      <w:r>
        <w:rPr>
          <w:lang w:val="en-US"/>
        </w:rPr>
        <w:t>to</w:t>
      </w:r>
      <w:r w:rsidRPr="00C27550">
        <w:rPr>
          <w:lang w:val="en-US"/>
        </w:rPr>
        <w:t xml:space="preserve"> €14 billion</w:t>
      </w:r>
      <w:r>
        <w:rPr>
          <w:lang w:val="en-US"/>
        </w:rPr>
        <w:t>. Last year Evonik posted adjusted EBITDA of €1.91 billion and sales of €12.2 billion.</w:t>
      </w:r>
    </w:p>
    <w:p w14:paraId="1CF82751" w14:textId="77777777" w:rsidR="00605F85" w:rsidRDefault="00605F85" w:rsidP="00605F85">
      <w:pPr>
        <w:rPr>
          <w:lang w:val="en-US"/>
        </w:rPr>
      </w:pPr>
    </w:p>
    <w:p w14:paraId="77090B57" w14:textId="77777777" w:rsidR="00605F85" w:rsidRDefault="00605F85" w:rsidP="00605F85">
      <w:pPr>
        <w:rPr>
          <w:lang w:val="en-US"/>
        </w:rPr>
      </w:pPr>
      <w:r>
        <w:rPr>
          <w:lang w:val="en-US"/>
        </w:rPr>
        <w:t>In the second quarter, a</w:t>
      </w:r>
      <w:r w:rsidRPr="00150687">
        <w:rPr>
          <w:lang w:val="en-US"/>
        </w:rPr>
        <w:t xml:space="preserve">djusted EBITDA </w:t>
      </w:r>
      <w:r>
        <w:rPr>
          <w:lang w:val="en-US"/>
        </w:rPr>
        <w:t>rose 42 percent to</w:t>
      </w:r>
    </w:p>
    <w:p w14:paraId="3104FC4C" w14:textId="77777777" w:rsidR="00605F85" w:rsidRDefault="00605F85" w:rsidP="00605F85">
      <w:pPr>
        <w:rPr>
          <w:lang w:val="en-US"/>
        </w:rPr>
      </w:pPr>
      <w:r>
        <w:rPr>
          <w:lang w:val="en-US"/>
        </w:rPr>
        <w:t xml:space="preserve">€649 million compared with the prior-year quarter. Even compared with the pre-corona </w:t>
      </w:r>
      <w:r w:rsidRPr="0002093A">
        <w:rPr>
          <w:lang w:val="en-US"/>
        </w:rPr>
        <w:t>second quarter of 2019</w:t>
      </w:r>
      <w:r>
        <w:rPr>
          <w:lang w:val="en-US"/>
        </w:rPr>
        <w:t>, adjusted EBITDA gained, growing 15 percent. The main drivers were all three growth divisions - Specialty Additives, Nutrition &amp; Care</w:t>
      </w:r>
      <w:r w:rsidRPr="0002093A">
        <w:rPr>
          <w:lang w:val="en-US"/>
        </w:rPr>
        <w:t xml:space="preserve"> </w:t>
      </w:r>
      <w:r>
        <w:rPr>
          <w:lang w:val="en-US"/>
        </w:rPr>
        <w:t xml:space="preserve">and Smart Materials, which demonstrated their resilience despite higher raw-material costs. </w:t>
      </w:r>
    </w:p>
    <w:p w14:paraId="274FB478" w14:textId="77777777" w:rsidR="00605F85" w:rsidRDefault="00605F85" w:rsidP="00605F85">
      <w:pPr>
        <w:rPr>
          <w:lang w:val="en-US"/>
        </w:rPr>
      </w:pPr>
    </w:p>
    <w:p w14:paraId="37CB36A9" w14:textId="77777777" w:rsidR="00605F85" w:rsidRDefault="00605F85" w:rsidP="00605F85">
      <w:pPr>
        <w:rPr>
          <w:lang w:val="en-US"/>
        </w:rPr>
      </w:pPr>
      <w:r>
        <w:rPr>
          <w:lang w:val="en-US"/>
        </w:rPr>
        <w:lastRenderedPageBreak/>
        <w:t>Sales at the company gained 29 percent to €3.64 billion in the second quarter compared with the same quarter in 2020. Adjusted n</w:t>
      </w:r>
      <w:r w:rsidRPr="00150687">
        <w:rPr>
          <w:lang w:val="en-US"/>
        </w:rPr>
        <w:t xml:space="preserve">et income </w:t>
      </w:r>
      <w:r>
        <w:rPr>
          <w:lang w:val="en-US"/>
        </w:rPr>
        <w:t xml:space="preserve">increased 58 percent to €253 million with adjusted earnings per share rising from €0.34 to €0.54. </w:t>
      </w:r>
    </w:p>
    <w:p w14:paraId="09FCCDC9" w14:textId="77777777" w:rsidR="00605F85" w:rsidRDefault="00605F85" w:rsidP="00605F85">
      <w:pPr>
        <w:rPr>
          <w:lang w:val="en-US"/>
        </w:rPr>
      </w:pPr>
    </w:p>
    <w:p w14:paraId="426F4A12" w14:textId="77777777" w:rsidR="00605F85" w:rsidRDefault="00605F85" w:rsidP="00605F85">
      <w:pPr>
        <w:rPr>
          <w:lang w:val="en-US"/>
        </w:rPr>
      </w:pPr>
      <w:r w:rsidRPr="00777357">
        <w:rPr>
          <w:lang w:val="en-US"/>
        </w:rPr>
        <w:t xml:space="preserve">As a result of the improved business performance, free cash flow increased year-on-year to €101 million, despite the expected increase in net working capital and higher tax payments. As a result, free cash flow reached a record level of €413 million in the first half of the year. </w:t>
      </w:r>
    </w:p>
    <w:p w14:paraId="42797B44" w14:textId="77777777" w:rsidR="00605F85" w:rsidRDefault="00605F85" w:rsidP="00605F85">
      <w:pPr>
        <w:rPr>
          <w:lang w:val="en-US"/>
        </w:rPr>
      </w:pPr>
    </w:p>
    <w:p w14:paraId="497ABAAA" w14:textId="77777777" w:rsidR="00605F85" w:rsidRDefault="00605F85" w:rsidP="00605F85">
      <w:pPr>
        <w:rPr>
          <w:lang w:val="en-US"/>
        </w:rPr>
      </w:pPr>
      <w:r w:rsidRPr="00777357">
        <w:rPr>
          <w:lang w:val="en-US"/>
        </w:rPr>
        <w:t xml:space="preserve">"The excellent cash flow </w:t>
      </w:r>
      <w:r>
        <w:rPr>
          <w:lang w:val="en-US"/>
        </w:rPr>
        <w:t>in</w:t>
      </w:r>
      <w:r w:rsidRPr="00777357">
        <w:rPr>
          <w:lang w:val="en-US"/>
        </w:rPr>
        <w:t xml:space="preserve"> the first half of the year </w:t>
      </w:r>
      <w:r>
        <w:rPr>
          <w:lang w:val="en-US"/>
        </w:rPr>
        <w:t>provides</w:t>
      </w:r>
      <w:r w:rsidRPr="00777357">
        <w:rPr>
          <w:lang w:val="en-US"/>
        </w:rPr>
        <w:t xml:space="preserve"> the basis for achieving a cash conversion rate of 40 percent again this year,"</w:t>
      </w:r>
      <w:r>
        <w:rPr>
          <w:lang w:val="en-US"/>
        </w:rPr>
        <w:t xml:space="preserve"> </w:t>
      </w:r>
      <w:r w:rsidRPr="00150687">
        <w:rPr>
          <w:lang w:val="en-US"/>
        </w:rPr>
        <w:t>sa</w:t>
      </w:r>
      <w:r>
        <w:rPr>
          <w:lang w:val="en-US"/>
        </w:rPr>
        <w:t>id</w:t>
      </w:r>
      <w:r w:rsidRPr="00150687">
        <w:rPr>
          <w:lang w:val="en-US"/>
        </w:rPr>
        <w:t xml:space="preserve"> Ute Wolf</w:t>
      </w:r>
      <w:r>
        <w:rPr>
          <w:lang w:val="en-US"/>
        </w:rPr>
        <w:t>, chief financial officer</w:t>
      </w:r>
      <w:r w:rsidRPr="00150687">
        <w:rPr>
          <w:lang w:val="en-US"/>
        </w:rPr>
        <w:t xml:space="preserve">. </w:t>
      </w:r>
    </w:p>
    <w:p w14:paraId="0457F93B" w14:textId="77777777" w:rsidR="00605F85" w:rsidRDefault="00605F85" w:rsidP="00605F85">
      <w:pPr>
        <w:rPr>
          <w:lang w:val="en-US"/>
        </w:rPr>
      </w:pPr>
    </w:p>
    <w:p w14:paraId="3E010E5F" w14:textId="77777777" w:rsidR="00605F85" w:rsidRDefault="00605F85" w:rsidP="00605F85">
      <w:pPr>
        <w:rPr>
          <w:b/>
          <w:bCs/>
          <w:lang w:val="en-US"/>
        </w:rPr>
      </w:pPr>
    </w:p>
    <w:p w14:paraId="4991265B" w14:textId="77777777" w:rsidR="00605F85" w:rsidRDefault="00605F85" w:rsidP="00605F85">
      <w:pPr>
        <w:rPr>
          <w:b/>
          <w:bCs/>
          <w:lang w:val="en-US"/>
        </w:rPr>
      </w:pPr>
      <w:r w:rsidRPr="00F93DD8">
        <w:rPr>
          <w:b/>
          <w:bCs/>
          <w:lang w:val="en-US"/>
        </w:rPr>
        <w:t>Development of the divisions</w:t>
      </w:r>
      <w:r>
        <w:rPr>
          <w:b/>
          <w:bCs/>
          <w:lang w:val="en-US"/>
        </w:rPr>
        <w:t xml:space="preserve"> </w:t>
      </w:r>
    </w:p>
    <w:p w14:paraId="607954B6" w14:textId="77777777" w:rsidR="00605F85" w:rsidRPr="00DD5429" w:rsidRDefault="00605F85" w:rsidP="00605F85">
      <w:pPr>
        <w:rPr>
          <w:lang w:val="en-US"/>
        </w:rPr>
      </w:pPr>
    </w:p>
    <w:p w14:paraId="29B3BA49" w14:textId="77777777" w:rsidR="00605F85" w:rsidRDefault="00605F85" w:rsidP="00605F85">
      <w:pPr>
        <w:rPr>
          <w:lang w:val="en-US"/>
        </w:rPr>
      </w:pPr>
      <w:r w:rsidRPr="00F93DD8">
        <w:rPr>
          <w:b/>
          <w:bCs/>
          <w:lang w:val="en-US"/>
        </w:rPr>
        <w:t>Specialty Additives</w:t>
      </w:r>
      <w:r w:rsidRPr="00DD5429">
        <w:rPr>
          <w:lang w:val="en-US"/>
        </w:rPr>
        <w:t xml:space="preserve">: </w:t>
      </w:r>
      <w:r w:rsidRPr="00DF2F97">
        <w:rPr>
          <w:lang w:val="en-US"/>
        </w:rPr>
        <w:t xml:space="preserve">The division's sales rose </w:t>
      </w:r>
      <w:r>
        <w:rPr>
          <w:lang w:val="en-US"/>
        </w:rPr>
        <w:t>23</w:t>
      </w:r>
      <w:r w:rsidRPr="00DF2F97">
        <w:rPr>
          <w:lang w:val="en-US"/>
        </w:rPr>
        <w:t xml:space="preserve"> percent to</w:t>
      </w:r>
    </w:p>
    <w:p w14:paraId="6EFE5922" w14:textId="77777777" w:rsidR="00605F85" w:rsidRDefault="00605F85" w:rsidP="00605F85">
      <w:pPr>
        <w:rPr>
          <w:lang w:val="en-US"/>
        </w:rPr>
      </w:pPr>
      <w:r w:rsidRPr="00DF2F97">
        <w:rPr>
          <w:lang w:val="en-US"/>
        </w:rPr>
        <w:t>€</w:t>
      </w:r>
      <w:r>
        <w:rPr>
          <w:lang w:val="en-US"/>
        </w:rPr>
        <w:t>922</w:t>
      </w:r>
      <w:r w:rsidRPr="00DF2F97">
        <w:rPr>
          <w:lang w:val="en-US"/>
        </w:rPr>
        <w:t xml:space="preserve"> million in the </w:t>
      </w:r>
      <w:r>
        <w:rPr>
          <w:lang w:val="en-US"/>
        </w:rPr>
        <w:t>second</w:t>
      </w:r>
      <w:r w:rsidRPr="00DF2F97">
        <w:rPr>
          <w:lang w:val="en-US"/>
        </w:rPr>
        <w:t xml:space="preserve"> quarter.</w:t>
      </w:r>
      <w:r>
        <w:rPr>
          <w:lang w:val="en-US"/>
        </w:rPr>
        <w:t xml:space="preserve"> </w:t>
      </w:r>
      <w:r w:rsidRPr="00330520">
        <w:rPr>
          <w:lang w:val="en-US"/>
        </w:rPr>
        <w:t xml:space="preserve">Additives for polyurethane foams, for example for the construction industry or durable </w:t>
      </w:r>
      <w:r>
        <w:rPr>
          <w:lang w:val="en-US"/>
        </w:rPr>
        <w:t>goods</w:t>
      </w:r>
      <w:r w:rsidRPr="00330520">
        <w:rPr>
          <w:lang w:val="en-US"/>
        </w:rPr>
        <w:t xml:space="preserve"> such as mattresses and refrigerators, </w:t>
      </w:r>
      <w:r>
        <w:rPr>
          <w:lang w:val="en-US"/>
        </w:rPr>
        <w:t>saw</w:t>
      </w:r>
      <w:r w:rsidRPr="00330520">
        <w:rPr>
          <w:lang w:val="en-US"/>
        </w:rPr>
        <w:t xml:space="preserve"> significantly higher demand </w:t>
      </w:r>
      <w:r>
        <w:rPr>
          <w:lang w:val="en-US"/>
        </w:rPr>
        <w:t xml:space="preserve">with </w:t>
      </w:r>
      <w:r w:rsidRPr="00330520">
        <w:rPr>
          <w:lang w:val="en-US"/>
        </w:rPr>
        <w:t xml:space="preserve">sales </w:t>
      </w:r>
      <w:r>
        <w:rPr>
          <w:lang w:val="en-US"/>
        </w:rPr>
        <w:t xml:space="preserve">rising strongly </w:t>
      </w:r>
      <w:r w:rsidRPr="00330520">
        <w:rPr>
          <w:lang w:val="en-US"/>
        </w:rPr>
        <w:t>compared to the</w:t>
      </w:r>
      <w:r>
        <w:rPr>
          <w:lang w:val="en-US"/>
        </w:rPr>
        <w:t xml:space="preserve"> c</w:t>
      </w:r>
      <w:r w:rsidRPr="00330520">
        <w:rPr>
          <w:lang w:val="en-US"/>
        </w:rPr>
        <w:t>orona-related weaker quarter</w:t>
      </w:r>
      <w:r>
        <w:rPr>
          <w:lang w:val="en-US"/>
        </w:rPr>
        <w:t xml:space="preserve"> last year</w:t>
      </w:r>
      <w:r w:rsidRPr="00330520">
        <w:rPr>
          <w:lang w:val="en-US"/>
        </w:rPr>
        <w:t xml:space="preserve">. Additives for the coatings industry also recorded significant sales growth in all regions. </w:t>
      </w:r>
      <w:r>
        <w:rPr>
          <w:lang w:val="en-US"/>
        </w:rPr>
        <w:t>G</w:t>
      </w:r>
      <w:r w:rsidRPr="00330520">
        <w:rPr>
          <w:lang w:val="en-US"/>
        </w:rPr>
        <w:t xml:space="preserve">ood </w:t>
      </w:r>
      <w:r>
        <w:rPr>
          <w:lang w:val="en-US"/>
        </w:rPr>
        <w:t>de</w:t>
      </w:r>
      <w:r w:rsidRPr="00330520">
        <w:rPr>
          <w:lang w:val="en-US"/>
        </w:rPr>
        <w:t xml:space="preserve">mand for renewable energy products continued. </w:t>
      </w:r>
      <w:r>
        <w:rPr>
          <w:lang w:val="en-US"/>
        </w:rPr>
        <w:t>The</w:t>
      </w:r>
      <w:r w:rsidRPr="00330520">
        <w:rPr>
          <w:lang w:val="en-US"/>
        </w:rPr>
        <w:t xml:space="preserve"> business with additives for the automotive industry also </w:t>
      </w:r>
      <w:proofErr w:type="gramStart"/>
      <w:r w:rsidRPr="00330520">
        <w:rPr>
          <w:lang w:val="en-US"/>
        </w:rPr>
        <w:t>increased significantly</w:t>
      </w:r>
      <w:proofErr w:type="gramEnd"/>
      <w:r w:rsidRPr="00330520">
        <w:rPr>
          <w:lang w:val="en-US"/>
        </w:rPr>
        <w:t xml:space="preserve"> year-on-year.</w:t>
      </w:r>
      <w:r>
        <w:rPr>
          <w:lang w:val="en-US"/>
        </w:rPr>
        <w:t xml:space="preserve"> </w:t>
      </w:r>
      <w:r w:rsidRPr="00DF2F97">
        <w:rPr>
          <w:lang w:val="en-US"/>
        </w:rPr>
        <w:t xml:space="preserve">Adjusted EBITDA increased by </w:t>
      </w:r>
      <w:r>
        <w:rPr>
          <w:lang w:val="en-US"/>
        </w:rPr>
        <w:t>20</w:t>
      </w:r>
      <w:r w:rsidRPr="00DF2F97">
        <w:rPr>
          <w:lang w:val="en-US"/>
        </w:rPr>
        <w:t xml:space="preserve"> percent to €</w:t>
      </w:r>
      <w:r>
        <w:rPr>
          <w:lang w:val="en-US"/>
        </w:rPr>
        <w:t>242</w:t>
      </w:r>
      <w:r w:rsidRPr="00DF2F97">
        <w:rPr>
          <w:lang w:val="en-US"/>
        </w:rPr>
        <w:t xml:space="preserve"> million.</w:t>
      </w:r>
    </w:p>
    <w:p w14:paraId="2EAE6CA8" w14:textId="77777777" w:rsidR="00605F85" w:rsidRDefault="00605F85" w:rsidP="00605F85">
      <w:pPr>
        <w:rPr>
          <w:lang w:val="en-US"/>
        </w:rPr>
      </w:pPr>
    </w:p>
    <w:p w14:paraId="748B33E2" w14:textId="77777777" w:rsidR="00605F85" w:rsidRDefault="00605F85" w:rsidP="00605F85">
      <w:r w:rsidRPr="00F93DD8">
        <w:rPr>
          <w:b/>
          <w:bCs/>
          <w:lang w:val="en-US"/>
        </w:rPr>
        <w:t>Nutrition &amp; Care</w:t>
      </w:r>
      <w:r w:rsidRPr="00DD5429">
        <w:rPr>
          <w:lang w:val="en-US"/>
        </w:rPr>
        <w:t xml:space="preserve">: </w:t>
      </w:r>
      <w:r w:rsidRPr="0035592B">
        <w:t xml:space="preserve">Sales at Nutrition &amp; Care rose </w:t>
      </w:r>
      <w:r>
        <w:t>13</w:t>
      </w:r>
      <w:r w:rsidRPr="0035592B">
        <w:t xml:space="preserve"> percent to €</w:t>
      </w:r>
      <w:r>
        <w:t>838</w:t>
      </w:r>
      <w:r w:rsidRPr="0035592B">
        <w:t xml:space="preserve"> million in the </w:t>
      </w:r>
      <w:r>
        <w:t>second</w:t>
      </w:r>
      <w:r w:rsidRPr="0035592B">
        <w:t xml:space="preserve"> quarter.</w:t>
      </w:r>
      <w:r w:rsidRPr="00F75785">
        <w:t xml:space="preserve"> </w:t>
      </w:r>
      <w:r>
        <w:t xml:space="preserve">Sales of </w:t>
      </w:r>
      <w:r w:rsidRPr="00F75785">
        <w:t xml:space="preserve">essential amino acids </w:t>
      </w:r>
      <w:r>
        <w:t>increased</w:t>
      </w:r>
      <w:r w:rsidRPr="00F75785">
        <w:t xml:space="preserve"> with good volume demand and improved selling prices. The products for the health and care sector benefited from good demand and achieved </w:t>
      </w:r>
      <w:r>
        <w:t>considerably</w:t>
      </w:r>
      <w:r w:rsidRPr="00F75785">
        <w:t xml:space="preserve"> higher sales. Active ingredients</w:t>
      </w:r>
      <w:r>
        <w:t>,</w:t>
      </w:r>
      <w:r w:rsidRPr="00F75785">
        <w:t xml:space="preserve"> particular</w:t>
      </w:r>
      <w:r>
        <w:t>ly</w:t>
      </w:r>
      <w:r w:rsidRPr="00F75785">
        <w:t xml:space="preserve"> for cosmetic applications</w:t>
      </w:r>
      <w:r>
        <w:t>,</w:t>
      </w:r>
      <w:r w:rsidRPr="00F75785">
        <w:t xml:space="preserve"> benefited from a very good volume development. In pharmaceutical applications lipids for mRNA vaccines </w:t>
      </w:r>
      <w:r>
        <w:t>saw</w:t>
      </w:r>
      <w:r w:rsidRPr="00F75785">
        <w:t xml:space="preserve"> a significant increase in sales.</w:t>
      </w:r>
      <w:r>
        <w:t xml:space="preserve"> </w:t>
      </w:r>
      <w:r w:rsidRPr="0035592B">
        <w:t xml:space="preserve">Adjusted EBITDA improved by </w:t>
      </w:r>
      <w:r>
        <w:t>9</w:t>
      </w:r>
      <w:r w:rsidRPr="0035592B">
        <w:t xml:space="preserve"> percent to €</w:t>
      </w:r>
      <w:r>
        <w:t>183</w:t>
      </w:r>
      <w:r w:rsidRPr="0035592B">
        <w:t xml:space="preserve"> million.</w:t>
      </w:r>
    </w:p>
    <w:p w14:paraId="1B52508D" w14:textId="77777777" w:rsidR="00605F85" w:rsidRDefault="00605F85" w:rsidP="00605F85"/>
    <w:p w14:paraId="776EF93F" w14:textId="77777777" w:rsidR="001714FB" w:rsidRDefault="001714FB" w:rsidP="00605F85">
      <w:pPr>
        <w:rPr>
          <w:b/>
          <w:bCs/>
          <w:lang w:val="en-US"/>
        </w:rPr>
      </w:pPr>
    </w:p>
    <w:p w14:paraId="3FE8F6FB" w14:textId="1450B651" w:rsidR="00605F85" w:rsidRDefault="00605F85" w:rsidP="00605F85">
      <w:r w:rsidRPr="00F93DD8">
        <w:rPr>
          <w:b/>
          <w:bCs/>
          <w:lang w:val="en-US"/>
        </w:rPr>
        <w:lastRenderedPageBreak/>
        <w:t>Smart Materials</w:t>
      </w:r>
      <w:r w:rsidRPr="00DD5429">
        <w:rPr>
          <w:lang w:val="en-US"/>
        </w:rPr>
        <w:t xml:space="preserve">: </w:t>
      </w:r>
      <w:r w:rsidRPr="005A0CB7">
        <w:t xml:space="preserve">The division's sales improved by </w:t>
      </w:r>
      <w:r>
        <w:t>35</w:t>
      </w:r>
      <w:r w:rsidRPr="005A0CB7">
        <w:t xml:space="preserve"> percent to €9</w:t>
      </w:r>
      <w:r>
        <w:t>75</w:t>
      </w:r>
      <w:r w:rsidRPr="005A0CB7">
        <w:t xml:space="preserve"> million in the </w:t>
      </w:r>
      <w:r>
        <w:t>second</w:t>
      </w:r>
      <w:r w:rsidRPr="005A0CB7">
        <w:t xml:space="preserve"> quarter. </w:t>
      </w:r>
      <w:r>
        <w:t>H</w:t>
      </w:r>
      <w:r w:rsidRPr="00F75785">
        <w:t xml:space="preserve">igh-performance </w:t>
      </w:r>
      <w:r>
        <w:t>polymers</w:t>
      </w:r>
      <w:r w:rsidRPr="00F75785">
        <w:t xml:space="preserve"> </w:t>
      </w:r>
      <w:r>
        <w:t>saw</w:t>
      </w:r>
      <w:r w:rsidRPr="00F75785">
        <w:t xml:space="preserve"> a significant increase in demand from the aut</w:t>
      </w:r>
      <w:r>
        <w:t>o</w:t>
      </w:r>
      <w:r w:rsidRPr="00F75785">
        <w:t xml:space="preserve"> industry. </w:t>
      </w:r>
      <w:r>
        <w:t>P</w:t>
      </w:r>
      <w:r w:rsidRPr="00F75785">
        <w:t xml:space="preserve">olyamide 12 powders for 3D printing and membranes for efficient gas treatment were also in high demand. </w:t>
      </w:r>
      <w:r>
        <w:t>The</w:t>
      </w:r>
      <w:r w:rsidRPr="00F75785">
        <w:t xml:space="preserve"> tire silica business benefited from a strong upturn in demand compared to the </w:t>
      </w:r>
      <w:r>
        <w:t>c</w:t>
      </w:r>
      <w:r w:rsidRPr="00F75785">
        <w:t>orona-related weaker quarter</w:t>
      </w:r>
      <w:r>
        <w:t xml:space="preserve"> last year</w:t>
      </w:r>
      <w:r w:rsidRPr="00F75785">
        <w:t xml:space="preserve">. Active oxygen products recorded good volume demand both in the specialty business and in the classic hydrogen peroxide business. </w:t>
      </w:r>
      <w:r>
        <w:t>The c</w:t>
      </w:r>
      <w:r w:rsidRPr="00F75785">
        <w:t xml:space="preserve">atalysts </w:t>
      </w:r>
      <w:r>
        <w:t xml:space="preserve">business </w:t>
      </w:r>
      <w:r w:rsidRPr="00F75785">
        <w:t xml:space="preserve">benefited from the first-time inclusion of </w:t>
      </w:r>
      <w:proofErr w:type="spellStart"/>
      <w:r w:rsidRPr="00F75785">
        <w:t>Porocel</w:t>
      </w:r>
      <w:proofErr w:type="spellEnd"/>
      <w:r w:rsidRPr="00F75785">
        <w:t xml:space="preserve">, which was acquired in November 2020. </w:t>
      </w:r>
      <w:r w:rsidRPr="005A0CB7">
        <w:t xml:space="preserve">Adjusted EBITDA rose </w:t>
      </w:r>
      <w:r>
        <w:t>73</w:t>
      </w:r>
      <w:r w:rsidRPr="005A0CB7">
        <w:t xml:space="preserve"> percent to €</w:t>
      </w:r>
      <w:r>
        <w:t>176</w:t>
      </w:r>
      <w:r w:rsidRPr="005A0CB7">
        <w:t xml:space="preserve"> million</w:t>
      </w:r>
      <w:r>
        <w:t xml:space="preserve"> at the division</w:t>
      </w:r>
      <w:r w:rsidRPr="005A0CB7">
        <w:t>.</w:t>
      </w:r>
    </w:p>
    <w:p w14:paraId="6757D924" w14:textId="77777777" w:rsidR="00605F85" w:rsidRDefault="00605F85" w:rsidP="00605F85"/>
    <w:p w14:paraId="303231BD" w14:textId="77777777" w:rsidR="00605F85" w:rsidRDefault="00605F85" w:rsidP="00605F85">
      <w:pPr>
        <w:rPr>
          <w:rFonts w:ascii="Trebuchet MS" w:hAnsi="Trebuchet MS"/>
          <w:sz w:val="20"/>
          <w:szCs w:val="20"/>
        </w:rPr>
      </w:pPr>
      <w:r w:rsidRPr="00F93DD8">
        <w:rPr>
          <w:b/>
          <w:bCs/>
          <w:lang w:val="en-US"/>
        </w:rPr>
        <w:t>Performance Materials</w:t>
      </w:r>
      <w:r w:rsidRPr="00DD5429">
        <w:rPr>
          <w:lang w:val="en-US"/>
        </w:rPr>
        <w:t xml:space="preserve">: </w:t>
      </w:r>
      <w:r w:rsidRPr="005A0CB7">
        <w:t xml:space="preserve">The division's sales </w:t>
      </w:r>
      <w:r>
        <w:t>rose</w:t>
      </w:r>
      <w:r w:rsidRPr="005A0CB7">
        <w:t xml:space="preserve"> by </w:t>
      </w:r>
      <w:r>
        <w:t>62</w:t>
      </w:r>
      <w:r w:rsidRPr="005A0CB7">
        <w:t xml:space="preserve"> percent to €</w:t>
      </w:r>
      <w:r>
        <w:t>708</w:t>
      </w:r>
      <w:r w:rsidRPr="005A0CB7">
        <w:t xml:space="preserve"> million in the </w:t>
      </w:r>
      <w:r>
        <w:t>second</w:t>
      </w:r>
      <w:r w:rsidRPr="005A0CB7">
        <w:t xml:space="preserve"> quarter. </w:t>
      </w:r>
      <w:r w:rsidRPr="000D3043">
        <w:t xml:space="preserve">Sales of C4 </w:t>
      </w:r>
      <w:r>
        <w:t>products</w:t>
      </w:r>
      <w:r w:rsidRPr="000D3043">
        <w:t xml:space="preserve"> increased significantly with increasing demand and strongly improved selling prices. The superabsorbent business continues to be affected by a difficult market environment.</w:t>
      </w:r>
      <w:r>
        <w:t xml:space="preserve"> </w:t>
      </w:r>
      <w:r w:rsidRPr="005A0CB7">
        <w:t>Adjusted EBITDA rose from €</w:t>
      </w:r>
      <w:r>
        <w:t>12</w:t>
      </w:r>
      <w:r w:rsidRPr="005A0CB7">
        <w:t xml:space="preserve"> million to €</w:t>
      </w:r>
      <w:r>
        <w:t>99</w:t>
      </w:r>
      <w:r w:rsidRPr="005A0CB7">
        <w:t xml:space="preserve"> million</w:t>
      </w:r>
      <w:r>
        <w:t xml:space="preserve"> in the quarter</w:t>
      </w:r>
      <w:r w:rsidRPr="005A0CB7">
        <w:t>.</w:t>
      </w:r>
    </w:p>
    <w:p w14:paraId="1B268440" w14:textId="77777777" w:rsidR="008A2674" w:rsidRDefault="008A2674" w:rsidP="008A2674">
      <w:pPr>
        <w:pStyle w:val="StandardWeb"/>
        <w:spacing w:after="240" w:line="372" w:lineRule="atLeast"/>
        <w:rPr>
          <w:rFonts w:ascii="Trebuchet MS" w:hAnsi="Trebuchet MS"/>
          <w:sz w:val="20"/>
          <w:szCs w:val="20"/>
        </w:rPr>
      </w:pPr>
    </w:p>
    <w:p w14:paraId="4355841F" w14:textId="77777777" w:rsidR="008A2674" w:rsidRDefault="008A2674" w:rsidP="008A2674">
      <w:pPr>
        <w:spacing w:line="220" w:lineRule="exact"/>
        <w:outlineLvl w:val="0"/>
        <w:rPr>
          <w:b/>
          <w:bCs/>
          <w:color w:val="000000"/>
          <w:sz w:val="18"/>
          <w:szCs w:val="18"/>
        </w:rPr>
      </w:pPr>
    </w:p>
    <w:tbl>
      <w:tblPr>
        <w:tblW w:w="9752" w:type="dxa"/>
        <w:tblLayout w:type="fixed"/>
        <w:tblCellMar>
          <w:left w:w="0" w:type="dxa"/>
          <w:right w:w="0" w:type="dxa"/>
        </w:tblCellMar>
        <w:tblLook w:val="04A0" w:firstRow="1" w:lastRow="0" w:firstColumn="1" w:lastColumn="0" w:noHBand="0" w:noVBand="1"/>
        <w:tblCaption w:val="Pressemitteilung - Tabelle en!outarea_q1"/>
        <w:tblDescription w:val="SNEID_d01d09a79bef44ffa2bd198055d4873f"/>
      </w:tblPr>
      <w:tblGrid>
        <w:gridCol w:w="2912"/>
        <w:gridCol w:w="119"/>
        <w:gridCol w:w="1021"/>
        <w:gridCol w:w="119"/>
        <w:gridCol w:w="1021"/>
        <w:gridCol w:w="119"/>
        <w:gridCol w:w="1021"/>
        <w:gridCol w:w="119"/>
        <w:gridCol w:w="1021"/>
        <w:gridCol w:w="119"/>
        <w:gridCol w:w="1021"/>
        <w:gridCol w:w="119"/>
        <w:gridCol w:w="1021"/>
      </w:tblGrid>
      <w:tr w:rsidR="00A81870" w:rsidRPr="002B1E3C" w14:paraId="7A54A9A0" w14:textId="77777777" w:rsidTr="00957225">
        <w:tc>
          <w:tcPr>
            <w:tcW w:w="9754" w:type="dxa"/>
            <w:gridSpan w:val="13"/>
            <w:noWrap/>
            <w:vAlign w:val="bottom"/>
          </w:tcPr>
          <w:p w14:paraId="18651EA0" w14:textId="77777777" w:rsidR="00A81870" w:rsidRDefault="00A81870" w:rsidP="00957225">
            <w:pPr>
              <w:pStyle w:val="TTitleText"/>
            </w:pPr>
            <w:bookmarkStart w:id="0" w:name="RANGE!B4:N20"/>
            <w:r>
              <w:rPr>
                <w:bCs/>
              </w:rPr>
              <w:t>Excerpt from the income statement</w:t>
            </w:r>
            <w:bookmarkEnd w:id="0"/>
          </w:p>
        </w:tc>
      </w:tr>
      <w:tr w:rsidR="00A81870" w:rsidRPr="002B1E3C" w14:paraId="6151BE9D" w14:textId="77777777" w:rsidTr="00957225">
        <w:tc>
          <w:tcPr>
            <w:tcW w:w="2914" w:type="dxa"/>
            <w:tcBorders>
              <w:top w:val="single" w:sz="8" w:space="0" w:color="000000"/>
            </w:tcBorders>
            <w:noWrap/>
            <w:vAlign w:val="bottom"/>
          </w:tcPr>
          <w:p w14:paraId="1CFC6699" w14:textId="77777777" w:rsidR="00A81870" w:rsidRDefault="00A81870" w:rsidP="00957225">
            <w:pPr>
              <w:pStyle w:val="TDummy"/>
              <w:keepNext/>
            </w:pPr>
            <w:r>
              <w:t> </w:t>
            </w:r>
          </w:p>
        </w:tc>
        <w:tc>
          <w:tcPr>
            <w:tcW w:w="119" w:type="dxa"/>
            <w:tcBorders>
              <w:top w:val="single" w:sz="8" w:space="0" w:color="000000"/>
            </w:tcBorders>
            <w:noWrap/>
            <w:vAlign w:val="bottom"/>
          </w:tcPr>
          <w:p w14:paraId="19F8BEA5" w14:textId="77777777" w:rsidR="00A81870" w:rsidRDefault="00A81870" w:rsidP="00957225">
            <w:pPr>
              <w:pStyle w:val="TDummy"/>
              <w:keepNext/>
            </w:pPr>
            <w:r>
              <w:t> </w:t>
            </w:r>
          </w:p>
        </w:tc>
        <w:tc>
          <w:tcPr>
            <w:tcW w:w="1021" w:type="dxa"/>
            <w:tcBorders>
              <w:top w:val="single" w:sz="8" w:space="0" w:color="000000"/>
            </w:tcBorders>
            <w:noWrap/>
            <w:vAlign w:val="bottom"/>
          </w:tcPr>
          <w:p w14:paraId="76B68938" w14:textId="77777777" w:rsidR="00A81870" w:rsidRDefault="00A81870" w:rsidP="00957225">
            <w:pPr>
              <w:pStyle w:val="TDummy"/>
              <w:keepNext/>
            </w:pPr>
            <w:r>
              <w:t> </w:t>
            </w:r>
          </w:p>
        </w:tc>
        <w:tc>
          <w:tcPr>
            <w:tcW w:w="119" w:type="dxa"/>
            <w:tcBorders>
              <w:top w:val="single" w:sz="8" w:space="0" w:color="000000"/>
            </w:tcBorders>
            <w:noWrap/>
            <w:vAlign w:val="bottom"/>
          </w:tcPr>
          <w:p w14:paraId="53BB1BE9" w14:textId="77777777" w:rsidR="00A81870" w:rsidRDefault="00A81870" w:rsidP="00957225">
            <w:pPr>
              <w:pStyle w:val="TDummy"/>
              <w:keepNext/>
            </w:pPr>
            <w:r>
              <w:t> </w:t>
            </w:r>
          </w:p>
        </w:tc>
        <w:tc>
          <w:tcPr>
            <w:tcW w:w="1021" w:type="dxa"/>
            <w:tcBorders>
              <w:top w:val="single" w:sz="8" w:space="0" w:color="000000"/>
            </w:tcBorders>
            <w:noWrap/>
            <w:vAlign w:val="bottom"/>
          </w:tcPr>
          <w:p w14:paraId="4C2A8925" w14:textId="77777777" w:rsidR="00A81870" w:rsidRDefault="00A81870" w:rsidP="00957225">
            <w:pPr>
              <w:pStyle w:val="TDummy"/>
              <w:keepNext/>
            </w:pPr>
            <w:r>
              <w:t> </w:t>
            </w:r>
          </w:p>
        </w:tc>
        <w:tc>
          <w:tcPr>
            <w:tcW w:w="119" w:type="dxa"/>
            <w:tcBorders>
              <w:top w:val="single" w:sz="8" w:space="0" w:color="000000"/>
            </w:tcBorders>
            <w:noWrap/>
            <w:vAlign w:val="bottom"/>
          </w:tcPr>
          <w:p w14:paraId="16DC1F92" w14:textId="77777777" w:rsidR="00A81870" w:rsidRDefault="00A81870" w:rsidP="00957225">
            <w:pPr>
              <w:pStyle w:val="TDummy"/>
              <w:keepNext/>
            </w:pPr>
            <w:r>
              <w:t> </w:t>
            </w:r>
          </w:p>
        </w:tc>
        <w:tc>
          <w:tcPr>
            <w:tcW w:w="1021" w:type="dxa"/>
            <w:tcBorders>
              <w:top w:val="single" w:sz="8" w:space="0" w:color="000000"/>
            </w:tcBorders>
            <w:noWrap/>
            <w:vAlign w:val="bottom"/>
          </w:tcPr>
          <w:p w14:paraId="15B3D053" w14:textId="77777777" w:rsidR="00A81870" w:rsidRDefault="00A81870" w:rsidP="00957225">
            <w:pPr>
              <w:pStyle w:val="TDummy"/>
              <w:keepNext/>
            </w:pPr>
            <w:r>
              <w:t> </w:t>
            </w:r>
          </w:p>
        </w:tc>
        <w:tc>
          <w:tcPr>
            <w:tcW w:w="119" w:type="dxa"/>
            <w:tcBorders>
              <w:top w:val="single" w:sz="8" w:space="0" w:color="000000"/>
            </w:tcBorders>
            <w:noWrap/>
            <w:vAlign w:val="bottom"/>
          </w:tcPr>
          <w:p w14:paraId="2E4BC10B" w14:textId="77777777" w:rsidR="00A81870" w:rsidRDefault="00A81870" w:rsidP="00957225">
            <w:pPr>
              <w:pStyle w:val="TDummy"/>
              <w:keepNext/>
            </w:pPr>
            <w:r>
              <w:t> </w:t>
            </w:r>
          </w:p>
        </w:tc>
        <w:tc>
          <w:tcPr>
            <w:tcW w:w="1021" w:type="dxa"/>
            <w:tcBorders>
              <w:top w:val="single" w:sz="8" w:space="0" w:color="000000"/>
            </w:tcBorders>
            <w:noWrap/>
            <w:vAlign w:val="bottom"/>
          </w:tcPr>
          <w:p w14:paraId="2B398203" w14:textId="77777777" w:rsidR="00A81870" w:rsidRDefault="00A81870" w:rsidP="00957225">
            <w:pPr>
              <w:pStyle w:val="TDummy"/>
              <w:keepNext/>
            </w:pPr>
            <w:r>
              <w:t> </w:t>
            </w:r>
          </w:p>
        </w:tc>
        <w:tc>
          <w:tcPr>
            <w:tcW w:w="119" w:type="dxa"/>
            <w:tcBorders>
              <w:top w:val="single" w:sz="8" w:space="0" w:color="000000"/>
            </w:tcBorders>
            <w:noWrap/>
            <w:vAlign w:val="bottom"/>
          </w:tcPr>
          <w:p w14:paraId="583D7DB6" w14:textId="77777777" w:rsidR="00A81870" w:rsidRDefault="00A81870" w:rsidP="00957225">
            <w:pPr>
              <w:pStyle w:val="TDummy"/>
              <w:keepNext/>
            </w:pPr>
            <w:r>
              <w:t> </w:t>
            </w:r>
          </w:p>
        </w:tc>
        <w:tc>
          <w:tcPr>
            <w:tcW w:w="1021" w:type="dxa"/>
            <w:tcBorders>
              <w:top w:val="single" w:sz="8" w:space="0" w:color="000000"/>
            </w:tcBorders>
            <w:noWrap/>
            <w:vAlign w:val="bottom"/>
          </w:tcPr>
          <w:p w14:paraId="4A0C9A0A" w14:textId="77777777" w:rsidR="00A81870" w:rsidRDefault="00A81870" w:rsidP="00957225">
            <w:pPr>
              <w:pStyle w:val="TDummy"/>
              <w:keepNext/>
            </w:pPr>
            <w:r>
              <w:t> </w:t>
            </w:r>
          </w:p>
        </w:tc>
        <w:tc>
          <w:tcPr>
            <w:tcW w:w="119" w:type="dxa"/>
            <w:tcBorders>
              <w:top w:val="single" w:sz="8" w:space="0" w:color="000000"/>
            </w:tcBorders>
            <w:noWrap/>
            <w:vAlign w:val="bottom"/>
          </w:tcPr>
          <w:p w14:paraId="607E5330" w14:textId="77777777" w:rsidR="00A81870" w:rsidRDefault="00A81870" w:rsidP="00957225">
            <w:pPr>
              <w:pStyle w:val="TDummy"/>
              <w:keepNext/>
            </w:pPr>
            <w:r>
              <w:t> </w:t>
            </w:r>
          </w:p>
        </w:tc>
        <w:tc>
          <w:tcPr>
            <w:tcW w:w="1021" w:type="dxa"/>
            <w:tcBorders>
              <w:top w:val="single" w:sz="8" w:space="0" w:color="000000"/>
            </w:tcBorders>
            <w:noWrap/>
            <w:vAlign w:val="bottom"/>
          </w:tcPr>
          <w:p w14:paraId="694A454E" w14:textId="77777777" w:rsidR="00A81870" w:rsidRDefault="00A81870" w:rsidP="00957225">
            <w:pPr>
              <w:pStyle w:val="TDummy"/>
              <w:keepNext/>
            </w:pPr>
            <w:r>
              <w:t> </w:t>
            </w:r>
          </w:p>
        </w:tc>
      </w:tr>
      <w:tr w:rsidR="00A81870" w14:paraId="5E97C8B2" w14:textId="77777777" w:rsidTr="00957225">
        <w:tc>
          <w:tcPr>
            <w:tcW w:w="2914" w:type="dxa"/>
            <w:shd w:val="clear" w:color="000000" w:fill="FFFFFF"/>
            <w:noWrap/>
            <w:vAlign w:val="bottom"/>
          </w:tcPr>
          <w:p w14:paraId="180A81DA" w14:textId="77777777" w:rsidR="00A81870" w:rsidRPr="002B1E3C" w:rsidRDefault="00A81870" w:rsidP="00957225">
            <w:pPr>
              <w:pStyle w:val="THeadfirstNumber"/>
              <w:rPr>
                <w:lang w:val="en-US"/>
              </w:rPr>
            </w:pPr>
            <w:bookmarkStart w:id="1" w:name="RANGE!B6:N6"/>
            <w:bookmarkStart w:id="2" w:name="RANGE!B6"/>
            <w:bookmarkEnd w:id="1"/>
            <w:r w:rsidRPr="002B1E3C">
              <w:rPr>
                <w:lang w:val="en-US"/>
              </w:rPr>
              <w:t> </w:t>
            </w:r>
            <w:bookmarkEnd w:id="2"/>
          </w:p>
        </w:tc>
        <w:tc>
          <w:tcPr>
            <w:tcW w:w="119" w:type="dxa"/>
            <w:noWrap/>
            <w:vAlign w:val="bottom"/>
          </w:tcPr>
          <w:p w14:paraId="6624427D" w14:textId="77777777" w:rsidR="00A81870" w:rsidRPr="002B1E3C" w:rsidRDefault="00A81870" w:rsidP="00957225">
            <w:pPr>
              <w:pStyle w:val="THeadfirstNumber"/>
              <w:rPr>
                <w:lang w:val="en-US"/>
              </w:rPr>
            </w:pPr>
            <w:r w:rsidRPr="002B1E3C">
              <w:rPr>
                <w:lang w:val="en-US"/>
              </w:rPr>
              <w:t> </w:t>
            </w:r>
          </w:p>
        </w:tc>
        <w:tc>
          <w:tcPr>
            <w:tcW w:w="3301" w:type="dxa"/>
            <w:gridSpan w:val="5"/>
            <w:tcBorders>
              <w:bottom w:val="single" w:sz="4" w:space="0" w:color="A59C94"/>
            </w:tcBorders>
            <w:shd w:val="clear" w:color="000000" w:fill="FFFFFF"/>
            <w:noWrap/>
            <w:vAlign w:val="bottom"/>
          </w:tcPr>
          <w:p w14:paraId="18179B64" w14:textId="77777777" w:rsidR="00A81870" w:rsidRDefault="00A81870" w:rsidP="00957225">
            <w:pPr>
              <w:pStyle w:val="THeadfirstNumber"/>
            </w:pPr>
            <w:r>
              <w:t xml:space="preserve">2nd </w:t>
            </w:r>
            <w:proofErr w:type="spellStart"/>
            <w:r>
              <w:t>quarter</w:t>
            </w:r>
            <w:proofErr w:type="spellEnd"/>
          </w:p>
        </w:tc>
        <w:tc>
          <w:tcPr>
            <w:tcW w:w="119" w:type="dxa"/>
            <w:noWrap/>
            <w:vAlign w:val="bottom"/>
          </w:tcPr>
          <w:p w14:paraId="5CB106F8" w14:textId="77777777" w:rsidR="00A81870" w:rsidRDefault="00A81870" w:rsidP="00957225">
            <w:pPr>
              <w:pStyle w:val="THeadfirstNumber"/>
            </w:pPr>
            <w:r>
              <w:t> </w:t>
            </w:r>
          </w:p>
        </w:tc>
        <w:tc>
          <w:tcPr>
            <w:tcW w:w="3301" w:type="dxa"/>
            <w:gridSpan w:val="5"/>
            <w:tcBorders>
              <w:bottom w:val="single" w:sz="4" w:space="0" w:color="A59C94"/>
            </w:tcBorders>
            <w:shd w:val="clear" w:color="000000" w:fill="FFFFFF"/>
            <w:noWrap/>
            <w:vAlign w:val="bottom"/>
          </w:tcPr>
          <w:p w14:paraId="0E65486A" w14:textId="77777777" w:rsidR="00A81870" w:rsidRDefault="00A81870" w:rsidP="00957225">
            <w:pPr>
              <w:pStyle w:val="THeadfirstNumber"/>
            </w:pPr>
            <w:r>
              <w:t>1st half</w:t>
            </w:r>
          </w:p>
        </w:tc>
      </w:tr>
      <w:tr w:rsidR="00A81870" w14:paraId="1E572684" w14:textId="77777777" w:rsidTr="00957225">
        <w:tc>
          <w:tcPr>
            <w:tcW w:w="2914" w:type="dxa"/>
            <w:tcBorders>
              <w:bottom w:val="single" w:sz="4" w:space="0" w:color="000000"/>
            </w:tcBorders>
            <w:shd w:val="clear" w:color="000000" w:fill="FFFFFF"/>
            <w:noWrap/>
            <w:vAlign w:val="bottom"/>
          </w:tcPr>
          <w:p w14:paraId="7FFB4BB9" w14:textId="77777777" w:rsidR="00A81870" w:rsidRDefault="00A81870" w:rsidP="00957225">
            <w:pPr>
              <w:pStyle w:val="THeadlastText"/>
            </w:pPr>
            <w:bookmarkStart w:id="3" w:name="RANGE!B7:N7"/>
            <w:r>
              <w:t xml:space="preserve">in € </w:t>
            </w:r>
            <w:proofErr w:type="spellStart"/>
            <w:r>
              <w:t>million</w:t>
            </w:r>
            <w:bookmarkEnd w:id="3"/>
            <w:proofErr w:type="spellEnd"/>
          </w:p>
        </w:tc>
        <w:tc>
          <w:tcPr>
            <w:tcW w:w="119" w:type="dxa"/>
            <w:noWrap/>
            <w:vAlign w:val="bottom"/>
          </w:tcPr>
          <w:p w14:paraId="6694EA19" w14:textId="77777777" w:rsidR="00A81870" w:rsidRDefault="00A81870" w:rsidP="00957225">
            <w:pPr>
              <w:pStyle w:val="THeadlastNumber"/>
            </w:pPr>
            <w:r>
              <w:t> </w:t>
            </w:r>
          </w:p>
        </w:tc>
        <w:tc>
          <w:tcPr>
            <w:tcW w:w="1021" w:type="dxa"/>
            <w:tcBorders>
              <w:top w:val="single" w:sz="4" w:space="0" w:color="A59C94"/>
              <w:bottom w:val="single" w:sz="4" w:space="0" w:color="000000"/>
            </w:tcBorders>
            <w:shd w:val="clear" w:color="000000" w:fill="FFFFFF"/>
            <w:vAlign w:val="bottom"/>
          </w:tcPr>
          <w:p w14:paraId="79E59E84" w14:textId="77777777" w:rsidR="00A81870" w:rsidRDefault="00A81870" w:rsidP="00957225">
            <w:pPr>
              <w:pStyle w:val="THeadlastNumber"/>
            </w:pPr>
            <w:r>
              <w:t>2020</w:t>
            </w:r>
          </w:p>
        </w:tc>
        <w:tc>
          <w:tcPr>
            <w:tcW w:w="119" w:type="dxa"/>
            <w:vAlign w:val="bottom"/>
          </w:tcPr>
          <w:p w14:paraId="78FF1B32" w14:textId="77777777" w:rsidR="00A81870" w:rsidRDefault="00A81870" w:rsidP="00957225">
            <w:pPr>
              <w:pStyle w:val="THeadlastNumber"/>
            </w:pPr>
            <w:r>
              <w:t> </w:t>
            </w:r>
          </w:p>
        </w:tc>
        <w:tc>
          <w:tcPr>
            <w:tcW w:w="1021" w:type="dxa"/>
            <w:tcBorders>
              <w:top w:val="single" w:sz="4" w:space="0" w:color="A59C94"/>
              <w:bottom w:val="single" w:sz="4" w:space="0" w:color="000000"/>
            </w:tcBorders>
            <w:shd w:val="clear" w:color="000000" w:fill="FFFFFF"/>
            <w:vAlign w:val="bottom"/>
          </w:tcPr>
          <w:p w14:paraId="6DC34712" w14:textId="77777777" w:rsidR="00A81870" w:rsidRDefault="00A81870" w:rsidP="00957225">
            <w:pPr>
              <w:pStyle w:val="THeadlastNumberbold"/>
            </w:pPr>
            <w:bookmarkStart w:id="4" w:name="RANGE!F7:F20"/>
            <w:r>
              <w:rPr>
                <w:bCs/>
              </w:rPr>
              <w:t>2021</w:t>
            </w:r>
            <w:bookmarkEnd w:id="4"/>
          </w:p>
        </w:tc>
        <w:tc>
          <w:tcPr>
            <w:tcW w:w="119" w:type="dxa"/>
            <w:vAlign w:val="bottom"/>
          </w:tcPr>
          <w:p w14:paraId="778A6BC1" w14:textId="77777777" w:rsidR="00A81870" w:rsidRDefault="00A81870" w:rsidP="00957225">
            <w:pPr>
              <w:pStyle w:val="THeadlastNumber"/>
            </w:pPr>
            <w:r>
              <w:rPr>
                <w:b/>
                <w:bCs/>
              </w:rPr>
              <w:t> </w:t>
            </w:r>
          </w:p>
        </w:tc>
        <w:tc>
          <w:tcPr>
            <w:tcW w:w="1021" w:type="dxa"/>
            <w:tcBorders>
              <w:top w:val="single" w:sz="4" w:space="0" w:color="A59C94"/>
              <w:bottom w:val="single" w:sz="4" w:space="0" w:color="000000"/>
            </w:tcBorders>
            <w:shd w:val="clear" w:color="000000" w:fill="FFFFFF"/>
            <w:vAlign w:val="bottom"/>
          </w:tcPr>
          <w:p w14:paraId="1454D2D0" w14:textId="77777777" w:rsidR="00A81870" w:rsidRDefault="00A81870" w:rsidP="00957225">
            <w:pPr>
              <w:pStyle w:val="THeaddifferenceNumber"/>
              <w:keepNext/>
            </w:pPr>
            <w:bookmarkStart w:id="5" w:name="RANGE!H7:H20"/>
            <w:r>
              <w:t>Change in %</w:t>
            </w:r>
            <w:bookmarkEnd w:id="5"/>
          </w:p>
        </w:tc>
        <w:tc>
          <w:tcPr>
            <w:tcW w:w="119" w:type="dxa"/>
            <w:vAlign w:val="bottom"/>
          </w:tcPr>
          <w:p w14:paraId="1528273E" w14:textId="77777777" w:rsidR="00A81870" w:rsidRDefault="00A81870" w:rsidP="00957225">
            <w:pPr>
              <w:pStyle w:val="THeadlastNumber"/>
            </w:pPr>
            <w:r>
              <w:t> </w:t>
            </w:r>
          </w:p>
        </w:tc>
        <w:tc>
          <w:tcPr>
            <w:tcW w:w="1021" w:type="dxa"/>
            <w:tcBorders>
              <w:top w:val="single" w:sz="4" w:space="0" w:color="A59C94"/>
              <w:bottom w:val="single" w:sz="4" w:space="0" w:color="000000"/>
            </w:tcBorders>
            <w:shd w:val="clear" w:color="000000" w:fill="FFFFFF"/>
            <w:vAlign w:val="bottom"/>
          </w:tcPr>
          <w:p w14:paraId="40763969" w14:textId="77777777" w:rsidR="00A81870" w:rsidRDefault="00A81870" w:rsidP="00957225">
            <w:pPr>
              <w:pStyle w:val="THeadlastNumber"/>
            </w:pPr>
            <w:r>
              <w:t>2020</w:t>
            </w:r>
          </w:p>
        </w:tc>
        <w:tc>
          <w:tcPr>
            <w:tcW w:w="119" w:type="dxa"/>
            <w:vAlign w:val="bottom"/>
          </w:tcPr>
          <w:p w14:paraId="12853A5A" w14:textId="77777777" w:rsidR="00A81870" w:rsidRDefault="00A81870" w:rsidP="00957225">
            <w:pPr>
              <w:pStyle w:val="THeadlastNumber"/>
            </w:pPr>
            <w:r>
              <w:t> </w:t>
            </w:r>
          </w:p>
        </w:tc>
        <w:tc>
          <w:tcPr>
            <w:tcW w:w="1021" w:type="dxa"/>
            <w:tcBorders>
              <w:top w:val="single" w:sz="4" w:space="0" w:color="A59C94"/>
              <w:bottom w:val="single" w:sz="4" w:space="0" w:color="000000"/>
            </w:tcBorders>
            <w:shd w:val="clear" w:color="000000" w:fill="FFFFFF"/>
            <w:vAlign w:val="bottom"/>
          </w:tcPr>
          <w:p w14:paraId="1C1C53EE" w14:textId="77777777" w:rsidR="00A81870" w:rsidRDefault="00A81870" w:rsidP="00957225">
            <w:pPr>
              <w:pStyle w:val="THeadlastNumberbold"/>
            </w:pPr>
            <w:bookmarkStart w:id="6" w:name="RANGE!L7:L20"/>
            <w:r>
              <w:rPr>
                <w:bCs/>
              </w:rPr>
              <w:t>2021</w:t>
            </w:r>
            <w:bookmarkEnd w:id="6"/>
          </w:p>
        </w:tc>
        <w:tc>
          <w:tcPr>
            <w:tcW w:w="119" w:type="dxa"/>
            <w:vAlign w:val="bottom"/>
          </w:tcPr>
          <w:p w14:paraId="05CCA503" w14:textId="77777777" w:rsidR="00A81870" w:rsidRDefault="00A81870" w:rsidP="00957225">
            <w:pPr>
              <w:pStyle w:val="THeadlastNumber"/>
            </w:pPr>
            <w:r>
              <w:rPr>
                <w:b/>
                <w:bCs/>
              </w:rPr>
              <w:t> </w:t>
            </w:r>
          </w:p>
        </w:tc>
        <w:tc>
          <w:tcPr>
            <w:tcW w:w="1021" w:type="dxa"/>
            <w:tcBorders>
              <w:top w:val="single" w:sz="4" w:space="0" w:color="A59C94"/>
              <w:bottom w:val="single" w:sz="4" w:space="0" w:color="000000"/>
            </w:tcBorders>
            <w:shd w:val="clear" w:color="000000" w:fill="FFFFFF"/>
            <w:vAlign w:val="bottom"/>
          </w:tcPr>
          <w:p w14:paraId="16E30583" w14:textId="77777777" w:rsidR="00A81870" w:rsidRDefault="00A81870" w:rsidP="00957225">
            <w:pPr>
              <w:pStyle w:val="THeaddifferenceNumber"/>
              <w:keepNext/>
            </w:pPr>
            <w:bookmarkStart w:id="7" w:name="RANGE!N7:N20"/>
            <w:r>
              <w:t>Change in %</w:t>
            </w:r>
            <w:bookmarkEnd w:id="7"/>
          </w:p>
        </w:tc>
      </w:tr>
      <w:tr w:rsidR="00A81870" w14:paraId="7ED78B01" w14:textId="77777777" w:rsidTr="00957225">
        <w:tc>
          <w:tcPr>
            <w:tcW w:w="2914" w:type="dxa"/>
            <w:tcBorders>
              <w:top w:val="single" w:sz="4" w:space="0" w:color="000000"/>
              <w:bottom w:val="single" w:sz="4" w:space="0" w:color="A59C94"/>
            </w:tcBorders>
            <w:noWrap/>
            <w:vAlign w:val="bottom"/>
          </w:tcPr>
          <w:p w14:paraId="106D6B13" w14:textId="77777777" w:rsidR="00A81870" w:rsidRDefault="00A81870" w:rsidP="00957225">
            <w:pPr>
              <w:pStyle w:val="TBodysubtotalText"/>
              <w:keepNext/>
            </w:pPr>
            <w:bookmarkStart w:id="8" w:name="RANGE!B8:N10"/>
            <w:r>
              <w:rPr>
                <w:bCs/>
              </w:rPr>
              <w:t>Sales</w:t>
            </w:r>
            <w:bookmarkEnd w:id="8"/>
          </w:p>
        </w:tc>
        <w:tc>
          <w:tcPr>
            <w:tcW w:w="119" w:type="dxa"/>
            <w:noWrap/>
            <w:vAlign w:val="bottom"/>
          </w:tcPr>
          <w:p w14:paraId="50B17891" w14:textId="77777777" w:rsidR="00A81870" w:rsidRDefault="00A81870" w:rsidP="00957225">
            <w:pPr>
              <w:pStyle w:val="TBodysubtotalNumber"/>
              <w:keepNext/>
            </w:pPr>
            <w:r>
              <w:rPr>
                <w:bCs/>
              </w:rPr>
              <w:t> </w:t>
            </w:r>
          </w:p>
        </w:tc>
        <w:tc>
          <w:tcPr>
            <w:tcW w:w="1021" w:type="dxa"/>
            <w:tcBorders>
              <w:top w:val="single" w:sz="4" w:space="0" w:color="000000"/>
              <w:bottom w:val="single" w:sz="4" w:space="0" w:color="A59C94"/>
            </w:tcBorders>
            <w:noWrap/>
            <w:vAlign w:val="bottom"/>
          </w:tcPr>
          <w:p w14:paraId="436B2326" w14:textId="77777777" w:rsidR="00A81870" w:rsidRDefault="00A81870" w:rsidP="00957225">
            <w:pPr>
              <w:pStyle w:val="TBodysubtotalNumber"/>
              <w:keepNext/>
            </w:pPr>
            <w:r>
              <w:rPr>
                <w:bCs/>
              </w:rPr>
              <w:t>2,827</w:t>
            </w:r>
          </w:p>
        </w:tc>
        <w:tc>
          <w:tcPr>
            <w:tcW w:w="119" w:type="dxa"/>
            <w:noWrap/>
            <w:vAlign w:val="bottom"/>
          </w:tcPr>
          <w:p w14:paraId="003045CB" w14:textId="77777777" w:rsidR="00A81870" w:rsidRDefault="00A81870" w:rsidP="00957225">
            <w:pPr>
              <w:pStyle w:val="TBodysubtotalNumber"/>
              <w:keepNext/>
            </w:pPr>
            <w:r>
              <w:rPr>
                <w:bCs/>
              </w:rPr>
              <w:t> </w:t>
            </w:r>
          </w:p>
        </w:tc>
        <w:tc>
          <w:tcPr>
            <w:tcW w:w="1021" w:type="dxa"/>
            <w:tcBorders>
              <w:top w:val="single" w:sz="4" w:space="0" w:color="000000"/>
              <w:bottom w:val="single" w:sz="4" w:space="0" w:color="A59C94"/>
            </w:tcBorders>
            <w:shd w:val="clear" w:color="000000" w:fill="DAD5C9"/>
            <w:noWrap/>
            <w:vAlign w:val="bottom"/>
          </w:tcPr>
          <w:p w14:paraId="56F2402E" w14:textId="77777777" w:rsidR="00A81870" w:rsidRDefault="00A81870" w:rsidP="00957225">
            <w:pPr>
              <w:pStyle w:val="TBodysubtotalNumber"/>
              <w:keepNext/>
            </w:pPr>
            <w:r>
              <w:rPr>
                <w:bCs/>
              </w:rPr>
              <w:t>3,636</w:t>
            </w:r>
          </w:p>
        </w:tc>
        <w:tc>
          <w:tcPr>
            <w:tcW w:w="119" w:type="dxa"/>
            <w:noWrap/>
            <w:vAlign w:val="bottom"/>
          </w:tcPr>
          <w:p w14:paraId="269510D6" w14:textId="77777777" w:rsidR="00A81870" w:rsidRDefault="00A81870" w:rsidP="00957225">
            <w:pPr>
              <w:pStyle w:val="TBodysubtotalNumber"/>
              <w:keepNext/>
            </w:pPr>
            <w:r>
              <w:rPr>
                <w:bCs/>
              </w:rPr>
              <w:t> </w:t>
            </w:r>
          </w:p>
        </w:tc>
        <w:tc>
          <w:tcPr>
            <w:tcW w:w="1021" w:type="dxa"/>
            <w:tcBorders>
              <w:top w:val="single" w:sz="4" w:space="0" w:color="000000"/>
              <w:bottom w:val="single" w:sz="4" w:space="0" w:color="A59C94"/>
            </w:tcBorders>
            <w:noWrap/>
            <w:vAlign w:val="bottom"/>
          </w:tcPr>
          <w:p w14:paraId="3FB3A7BA" w14:textId="77777777" w:rsidR="00A81870" w:rsidRDefault="00A81870" w:rsidP="00957225">
            <w:pPr>
              <w:pStyle w:val="TBodysubtotalNumber"/>
              <w:keepNext/>
            </w:pPr>
            <w:r>
              <w:rPr>
                <w:bCs/>
              </w:rPr>
              <w:t>29</w:t>
            </w:r>
          </w:p>
        </w:tc>
        <w:tc>
          <w:tcPr>
            <w:tcW w:w="119" w:type="dxa"/>
            <w:noWrap/>
            <w:vAlign w:val="bottom"/>
          </w:tcPr>
          <w:p w14:paraId="6A365712" w14:textId="77777777" w:rsidR="00A81870" w:rsidRDefault="00A81870" w:rsidP="00957225">
            <w:pPr>
              <w:pStyle w:val="TBodysubtotalNumber"/>
              <w:keepNext/>
            </w:pPr>
            <w:r>
              <w:rPr>
                <w:bCs/>
              </w:rPr>
              <w:t> </w:t>
            </w:r>
          </w:p>
        </w:tc>
        <w:tc>
          <w:tcPr>
            <w:tcW w:w="1021" w:type="dxa"/>
            <w:tcBorders>
              <w:top w:val="single" w:sz="4" w:space="0" w:color="000000"/>
              <w:bottom w:val="single" w:sz="4" w:space="0" w:color="A59C94"/>
            </w:tcBorders>
            <w:noWrap/>
            <w:vAlign w:val="bottom"/>
          </w:tcPr>
          <w:p w14:paraId="41B738D6" w14:textId="77777777" w:rsidR="00A81870" w:rsidRDefault="00A81870" w:rsidP="00957225">
            <w:pPr>
              <w:pStyle w:val="TBodysubtotalNumber"/>
              <w:keepNext/>
            </w:pPr>
            <w:r>
              <w:rPr>
                <w:bCs/>
              </w:rPr>
              <w:t>6,069</w:t>
            </w:r>
          </w:p>
        </w:tc>
        <w:tc>
          <w:tcPr>
            <w:tcW w:w="119" w:type="dxa"/>
            <w:noWrap/>
            <w:vAlign w:val="bottom"/>
          </w:tcPr>
          <w:p w14:paraId="2D0C47C7" w14:textId="77777777" w:rsidR="00A81870" w:rsidRDefault="00A81870" w:rsidP="00957225">
            <w:pPr>
              <w:pStyle w:val="TBodysubtotalNumber"/>
              <w:keepNext/>
            </w:pPr>
            <w:r>
              <w:rPr>
                <w:bCs/>
              </w:rPr>
              <w:t> </w:t>
            </w:r>
          </w:p>
        </w:tc>
        <w:tc>
          <w:tcPr>
            <w:tcW w:w="1021" w:type="dxa"/>
            <w:tcBorders>
              <w:top w:val="single" w:sz="4" w:space="0" w:color="000000"/>
              <w:bottom w:val="single" w:sz="4" w:space="0" w:color="A59C94"/>
            </w:tcBorders>
            <w:shd w:val="clear" w:color="000000" w:fill="DAD5C9"/>
            <w:noWrap/>
            <w:vAlign w:val="bottom"/>
          </w:tcPr>
          <w:p w14:paraId="4B2A758F" w14:textId="77777777" w:rsidR="00A81870" w:rsidRDefault="00A81870" w:rsidP="00957225">
            <w:pPr>
              <w:pStyle w:val="TBodysubtotalNumber"/>
              <w:keepNext/>
            </w:pPr>
            <w:r>
              <w:rPr>
                <w:bCs/>
              </w:rPr>
              <w:t>6,994</w:t>
            </w:r>
          </w:p>
        </w:tc>
        <w:tc>
          <w:tcPr>
            <w:tcW w:w="119" w:type="dxa"/>
            <w:noWrap/>
            <w:vAlign w:val="bottom"/>
          </w:tcPr>
          <w:p w14:paraId="36ECC7BD" w14:textId="77777777" w:rsidR="00A81870" w:rsidRDefault="00A81870" w:rsidP="00957225">
            <w:pPr>
              <w:pStyle w:val="TBodysubtotalNumber"/>
              <w:keepNext/>
            </w:pPr>
            <w:r>
              <w:rPr>
                <w:bCs/>
              </w:rPr>
              <w:t> </w:t>
            </w:r>
          </w:p>
        </w:tc>
        <w:tc>
          <w:tcPr>
            <w:tcW w:w="1021" w:type="dxa"/>
            <w:tcBorders>
              <w:top w:val="single" w:sz="4" w:space="0" w:color="000000"/>
              <w:bottom w:val="single" w:sz="4" w:space="0" w:color="A59C94"/>
            </w:tcBorders>
            <w:noWrap/>
            <w:vAlign w:val="bottom"/>
          </w:tcPr>
          <w:p w14:paraId="34B780DE" w14:textId="77777777" w:rsidR="00A81870" w:rsidRDefault="00A81870" w:rsidP="00957225">
            <w:pPr>
              <w:pStyle w:val="TBodysubtotalNumber"/>
              <w:keepNext/>
            </w:pPr>
            <w:r>
              <w:rPr>
                <w:bCs/>
              </w:rPr>
              <w:t>15</w:t>
            </w:r>
          </w:p>
        </w:tc>
      </w:tr>
      <w:tr w:rsidR="00A81870" w14:paraId="145FF13B" w14:textId="77777777" w:rsidTr="00957225">
        <w:tc>
          <w:tcPr>
            <w:tcW w:w="2914" w:type="dxa"/>
            <w:tcBorders>
              <w:top w:val="single" w:sz="4" w:space="0" w:color="A59C94"/>
              <w:bottom w:val="single" w:sz="4" w:space="0" w:color="A59C94"/>
            </w:tcBorders>
            <w:noWrap/>
            <w:vAlign w:val="bottom"/>
          </w:tcPr>
          <w:p w14:paraId="2DFC94B5" w14:textId="77777777" w:rsidR="00A81870" w:rsidRDefault="00A81870" w:rsidP="00957225">
            <w:pPr>
              <w:pStyle w:val="TBodysubtotalText"/>
              <w:keepNext/>
            </w:pPr>
            <w:proofErr w:type="spellStart"/>
            <w:r>
              <w:rPr>
                <w:bCs/>
              </w:rPr>
              <w:t>Adjusted</w:t>
            </w:r>
            <w:proofErr w:type="spellEnd"/>
            <w:r>
              <w:rPr>
                <w:bCs/>
              </w:rPr>
              <w:t xml:space="preserve"> EBITDA</w:t>
            </w:r>
          </w:p>
        </w:tc>
        <w:tc>
          <w:tcPr>
            <w:tcW w:w="119" w:type="dxa"/>
            <w:noWrap/>
            <w:vAlign w:val="bottom"/>
          </w:tcPr>
          <w:p w14:paraId="4DE1BA98"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67C04710" w14:textId="77777777" w:rsidR="00A81870" w:rsidRDefault="00A81870" w:rsidP="00957225">
            <w:pPr>
              <w:pStyle w:val="TBodysubtotalNumber"/>
              <w:keepNext/>
            </w:pPr>
            <w:r>
              <w:rPr>
                <w:bCs/>
              </w:rPr>
              <w:t>456</w:t>
            </w:r>
          </w:p>
        </w:tc>
        <w:tc>
          <w:tcPr>
            <w:tcW w:w="119" w:type="dxa"/>
            <w:noWrap/>
            <w:vAlign w:val="bottom"/>
          </w:tcPr>
          <w:p w14:paraId="56731597"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shd w:val="clear" w:color="000000" w:fill="DAD5C9"/>
            <w:noWrap/>
            <w:vAlign w:val="bottom"/>
          </w:tcPr>
          <w:p w14:paraId="18102776" w14:textId="77777777" w:rsidR="00A81870" w:rsidRDefault="00A81870" w:rsidP="00957225">
            <w:pPr>
              <w:pStyle w:val="TBodysubtotalNumber"/>
              <w:keepNext/>
            </w:pPr>
            <w:r>
              <w:rPr>
                <w:bCs/>
              </w:rPr>
              <w:t>649</w:t>
            </w:r>
          </w:p>
        </w:tc>
        <w:tc>
          <w:tcPr>
            <w:tcW w:w="119" w:type="dxa"/>
            <w:noWrap/>
            <w:vAlign w:val="bottom"/>
          </w:tcPr>
          <w:p w14:paraId="3EC69908"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63E9A677" w14:textId="77777777" w:rsidR="00A81870" w:rsidRDefault="00A81870" w:rsidP="00957225">
            <w:pPr>
              <w:pStyle w:val="TBodysubtotalNumber"/>
              <w:keepNext/>
            </w:pPr>
            <w:r>
              <w:rPr>
                <w:bCs/>
              </w:rPr>
              <w:t>42</w:t>
            </w:r>
          </w:p>
        </w:tc>
        <w:tc>
          <w:tcPr>
            <w:tcW w:w="119" w:type="dxa"/>
            <w:noWrap/>
            <w:vAlign w:val="bottom"/>
          </w:tcPr>
          <w:p w14:paraId="15A405EA"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50839DF3" w14:textId="77777777" w:rsidR="00A81870" w:rsidRDefault="00A81870" w:rsidP="00957225">
            <w:pPr>
              <w:pStyle w:val="TBodysubtotalNumber"/>
              <w:keepNext/>
            </w:pPr>
            <w:r>
              <w:rPr>
                <w:bCs/>
              </w:rPr>
              <w:t>970</w:t>
            </w:r>
          </w:p>
        </w:tc>
        <w:tc>
          <w:tcPr>
            <w:tcW w:w="119" w:type="dxa"/>
            <w:noWrap/>
            <w:vAlign w:val="bottom"/>
          </w:tcPr>
          <w:p w14:paraId="644F591A"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shd w:val="clear" w:color="000000" w:fill="DAD5C9"/>
            <w:noWrap/>
            <w:vAlign w:val="bottom"/>
          </w:tcPr>
          <w:p w14:paraId="531A34E1" w14:textId="77777777" w:rsidR="00A81870" w:rsidRDefault="00A81870" w:rsidP="00957225">
            <w:pPr>
              <w:pStyle w:val="TBodysubtotalNumber"/>
              <w:keepNext/>
            </w:pPr>
            <w:r>
              <w:rPr>
                <w:bCs/>
              </w:rPr>
              <w:t>1,237</w:t>
            </w:r>
          </w:p>
        </w:tc>
        <w:tc>
          <w:tcPr>
            <w:tcW w:w="119" w:type="dxa"/>
            <w:noWrap/>
            <w:vAlign w:val="bottom"/>
          </w:tcPr>
          <w:p w14:paraId="2F6B6DF0"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47654DA1" w14:textId="77777777" w:rsidR="00A81870" w:rsidRDefault="00A81870" w:rsidP="00957225">
            <w:pPr>
              <w:pStyle w:val="TBodysubtotalNumber"/>
              <w:keepNext/>
            </w:pPr>
            <w:r>
              <w:rPr>
                <w:bCs/>
              </w:rPr>
              <w:t>28</w:t>
            </w:r>
          </w:p>
        </w:tc>
      </w:tr>
      <w:tr w:rsidR="00A81870" w14:paraId="426C648C" w14:textId="77777777" w:rsidTr="00957225">
        <w:tc>
          <w:tcPr>
            <w:tcW w:w="2914" w:type="dxa"/>
            <w:tcBorders>
              <w:top w:val="single" w:sz="4" w:space="0" w:color="A59C94"/>
              <w:bottom w:val="single" w:sz="4" w:space="0" w:color="A59C94"/>
            </w:tcBorders>
            <w:noWrap/>
            <w:vAlign w:val="bottom"/>
          </w:tcPr>
          <w:p w14:paraId="3FB632CF" w14:textId="77777777" w:rsidR="00A81870" w:rsidRDefault="00A81870" w:rsidP="00957225">
            <w:pPr>
              <w:pStyle w:val="TBodysubtotalText"/>
              <w:keepNext/>
            </w:pPr>
            <w:proofErr w:type="spellStart"/>
            <w:r>
              <w:rPr>
                <w:bCs/>
              </w:rPr>
              <w:t>Adjusted</w:t>
            </w:r>
            <w:proofErr w:type="spellEnd"/>
            <w:r>
              <w:rPr>
                <w:bCs/>
              </w:rPr>
              <w:t xml:space="preserve"> EBIT</w:t>
            </w:r>
          </w:p>
        </w:tc>
        <w:tc>
          <w:tcPr>
            <w:tcW w:w="119" w:type="dxa"/>
            <w:noWrap/>
            <w:vAlign w:val="bottom"/>
          </w:tcPr>
          <w:p w14:paraId="4BC808E3"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5409D690" w14:textId="77777777" w:rsidR="00A81870" w:rsidRDefault="00A81870" w:rsidP="00957225">
            <w:pPr>
              <w:pStyle w:val="TBodysubtotalNumber"/>
              <w:keepNext/>
            </w:pPr>
            <w:r>
              <w:rPr>
                <w:bCs/>
              </w:rPr>
              <w:t>202</w:t>
            </w:r>
          </w:p>
        </w:tc>
        <w:tc>
          <w:tcPr>
            <w:tcW w:w="119" w:type="dxa"/>
            <w:noWrap/>
            <w:vAlign w:val="bottom"/>
          </w:tcPr>
          <w:p w14:paraId="187933F2"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shd w:val="clear" w:color="000000" w:fill="DAD5C9"/>
            <w:noWrap/>
            <w:vAlign w:val="bottom"/>
          </w:tcPr>
          <w:p w14:paraId="7CCA9863" w14:textId="77777777" w:rsidR="00A81870" w:rsidRDefault="00A81870" w:rsidP="00957225">
            <w:pPr>
              <w:pStyle w:val="TBodysubtotalNumber"/>
              <w:keepNext/>
            </w:pPr>
            <w:r>
              <w:rPr>
                <w:bCs/>
              </w:rPr>
              <w:t>398</w:t>
            </w:r>
          </w:p>
        </w:tc>
        <w:tc>
          <w:tcPr>
            <w:tcW w:w="119" w:type="dxa"/>
            <w:noWrap/>
            <w:vAlign w:val="bottom"/>
          </w:tcPr>
          <w:p w14:paraId="03450721"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0A2F2587" w14:textId="77777777" w:rsidR="00A81870" w:rsidRDefault="00A81870" w:rsidP="00957225">
            <w:pPr>
              <w:pStyle w:val="TBodysubtotalNumber"/>
              <w:keepNext/>
            </w:pPr>
            <w:r>
              <w:rPr>
                <w:bCs/>
              </w:rPr>
              <w:t>97</w:t>
            </w:r>
          </w:p>
        </w:tc>
        <w:tc>
          <w:tcPr>
            <w:tcW w:w="119" w:type="dxa"/>
            <w:noWrap/>
            <w:vAlign w:val="bottom"/>
          </w:tcPr>
          <w:p w14:paraId="4DBF69C9"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434A2844" w14:textId="77777777" w:rsidR="00A81870" w:rsidRDefault="00A81870" w:rsidP="00957225">
            <w:pPr>
              <w:pStyle w:val="TBodysubtotalNumber"/>
              <w:keepNext/>
            </w:pPr>
            <w:r>
              <w:rPr>
                <w:bCs/>
              </w:rPr>
              <w:t>475</w:t>
            </w:r>
          </w:p>
        </w:tc>
        <w:tc>
          <w:tcPr>
            <w:tcW w:w="119" w:type="dxa"/>
            <w:noWrap/>
            <w:vAlign w:val="bottom"/>
          </w:tcPr>
          <w:p w14:paraId="0EF7849C"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shd w:val="clear" w:color="000000" w:fill="DAD5C9"/>
            <w:noWrap/>
            <w:vAlign w:val="bottom"/>
          </w:tcPr>
          <w:p w14:paraId="48A70839" w14:textId="77777777" w:rsidR="00A81870" w:rsidRDefault="00A81870" w:rsidP="00957225">
            <w:pPr>
              <w:pStyle w:val="TBodysubtotalNumber"/>
              <w:keepNext/>
            </w:pPr>
            <w:r>
              <w:rPr>
                <w:bCs/>
              </w:rPr>
              <w:t>734</w:t>
            </w:r>
          </w:p>
        </w:tc>
        <w:tc>
          <w:tcPr>
            <w:tcW w:w="119" w:type="dxa"/>
            <w:noWrap/>
            <w:vAlign w:val="bottom"/>
          </w:tcPr>
          <w:p w14:paraId="4AF34B59" w14:textId="77777777" w:rsidR="00A81870" w:rsidRDefault="00A81870" w:rsidP="00957225">
            <w:pPr>
              <w:pStyle w:val="TBodysubtotalNumber"/>
              <w:keepNext/>
            </w:pPr>
            <w:r>
              <w:rPr>
                <w:bCs/>
              </w:rPr>
              <w:t> </w:t>
            </w:r>
          </w:p>
        </w:tc>
        <w:tc>
          <w:tcPr>
            <w:tcW w:w="1021" w:type="dxa"/>
            <w:tcBorders>
              <w:top w:val="single" w:sz="4" w:space="0" w:color="A59C94"/>
              <w:bottom w:val="single" w:sz="4" w:space="0" w:color="A59C94"/>
            </w:tcBorders>
            <w:noWrap/>
            <w:vAlign w:val="bottom"/>
          </w:tcPr>
          <w:p w14:paraId="729E6A99" w14:textId="77777777" w:rsidR="00A81870" w:rsidRDefault="00A81870" w:rsidP="00957225">
            <w:pPr>
              <w:pStyle w:val="TBodysubtotalNumber"/>
              <w:keepNext/>
            </w:pPr>
            <w:r>
              <w:rPr>
                <w:bCs/>
              </w:rPr>
              <w:t>55</w:t>
            </w:r>
          </w:p>
        </w:tc>
      </w:tr>
      <w:tr w:rsidR="00A81870" w14:paraId="78D352E2" w14:textId="77777777" w:rsidTr="00957225">
        <w:tc>
          <w:tcPr>
            <w:tcW w:w="2914" w:type="dxa"/>
            <w:tcBorders>
              <w:top w:val="single" w:sz="4" w:space="0" w:color="A59C94"/>
              <w:bottom w:val="single" w:sz="4" w:space="0" w:color="A59C94"/>
            </w:tcBorders>
            <w:noWrap/>
            <w:vAlign w:val="bottom"/>
          </w:tcPr>
          <w:p w14:paraId="535A172A" w14:textId="77777777" w:rsidR="00A81870" w:rsidRDefault="00A81870" w:rsidP="00957225">
            <w:pPr>
              <w:pStyle w:val="TBodynormalText"/>
            </w:pPr>
            <w:r>
              <w:t>Adjustments</w:t>
            </w:r>
          </w:p>
        </w:tc>
        <w:tc>
          <w:tcPr>
            <w:tcW w:w="119" w:type="dxa"/>
            <w:noWrap/>
            <w:vAlign w:val="bottom"/>
          </w:tcPr>
          <w:p w14:paraId="42378AF6"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67DADE00" w14:textId="77777777" w:rsidR="00A81870" w:rsidRDefault="00A81870" w:rsidP="00957225">
            <w:pPr>
              <w:pStyle w:val="TBodynormalNumber"/>
              <w:keepNext/>
            </w:pPr>
            <w:r>
              <w:t>-14</w:t>
            </w:r>
          </w:p>
        </w:tc>
        <w:tc>
          <w:tcPr>
            <w:tcW w:w="119" w:type="dxa"/>
            <w:noWrap/>
            <w:vAlign w:val="bottom"/>
          </w:tcPr>
          <w:p w14:paraId="52838FA6"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1C2AB17E" w14:textId="77777777" w:rsidR="00A81870" w:rsidRDefault="00A81870" w:rsidP="00957225">
            <w:pPr>
              <w:pStyle w:val="TBodynormalNumber"/>
              <w:keepNext/>
            </w:pPr>
            <w:r>
              <w:t>-18</w:t>
            </w:r>
          </w:p>
        </w:tc>
        <w:tc>
          <w:tcPr>
            <w:tcW w:w="119" w:type="dxa"/>
            <w:noWrap/>
            <w:vAlign w:val="bottom"/>
          </w:tcPr>
          <w:p w14:paraId="2CE7EE9D"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58B9CD95" w14:textId="77777777" w:rsidR="00A81870" w:rsidRDefault="00A81870" w:rsidP="00957225">
            <w:pPr>
              <w:pStyle w:val="TBodynormalNumber"/>
              <w:keepNext/>
            </w:pPr>
            <w:r>
              <w:t> </w:t>
            </w:r>
          </w:p>
        </w:tc>
        <w:tc>
          <w:tcPr>
            <w:tcW w:w="119" w:type="dxa"/>
            <w:noWrap/>
            <w:vAlign w:val="bottom"/>
          </w:tcPr>
          <w:p w14:paraId="6B10B115"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7A66584E" w14:textId="77777777" w:rsidR="00A81870" w:rsidRDefault="00A81870" w:rsidP="00957225">
            <w:pPr>
              <w:pStyle w:val="TBodynormalNumber"/>
              <w:keepNext/>
            </w:pPr>
            <w:r>
              <w:t>-40</w:t>
            </w:r>
          </w:p>
        </w:tc>
        <w:tc>
          <w:tcPr>
            <w:tcW w:w="119" w:type="dxa"/>
            <w:noWrap/>
            <w:vAlign w:val="bottom"/>
          </w:tcPr>
          <w:p w14:paraId="435694E8"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6B9B69C3" w14:textId="77777777" w:rsidR="00A81870" w:rsidRDefault="00A81870" w:rsidP="00957225">
            <w:pPr>
              <w:pStyle w:val="TBodynormalNumber"/>
              <w:keepNext/>
            </w:pPr>
            <w:r>
              <w:t>-46</w:t>
            </w:r>
          </w:p>
        </w:tc>
        <w:tc>
          <w:tcPr>
            <w:tcW w:w="119" w:type="dxa"/>
            <w:noWrap/>
            <w:vAlign w:val="bottom"/>
          </w:tcPr>
          <w:p w14:paraId="443543BE"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4A74AB10" w14:textId="77777777" w:rsidR="00A81870" w:rsidRDefault="00A81870" w:rsidP="00957225">
            <w:pPr>
              <w:pStyle w:val="TBodynormalNumber"/>
              <w:keepNext/>
            </w:pPr>
            <w:r>
              <w:t> </w:t>
            </w:r>
          </w:p>
        </w:tc>
      </w:tr>
      <w:tr w:rsidR="00A81870" w14:paraId="389AE238" w14:textId="77777777" w:rsidTr="00957225">
        <w:tc>
          <w:tcPr>
            <w:tcW w:w="2914" w:type="dxa"/>
            <w:tcBorders>
              <w:top w:val="single" w:sz="4" w:space="0" w:color="A59C94"/>
              <w:bottom w:val="single" w:sz="4" w:space="0" w:color="A59C94"/>
            </w:tcBorders>
            <w:noWrap/>
            <w:vAlign w:val="bottom"/>
          </w:tcPr>
          <w:p w14:paraId="5E1FB2A4" w14:textId="77777777" w:rsidR="00A81870" w:rsidRDefault="00A81870" w:rsidP="00957225">
            <w:pPr>
              <w:pStyle w:val="TBodynormalText"/>
            </w:pPr>
            <w:r>
              <w:t xml:space="preserve">Financial </w:t>
            </w:r>
            <w:proofErr w:type="spellStart"/>
            <w:r>
              <w:t>result</w:t>
            </w:r>
            <w:proofErr w:type="spellEnd"/>
          </w:p>
        </w:tc>
        <w:tc>
          <w:tcPr>
            <w:tcW w:w="119" w:type="dxa"/>
            <w:noWrap/>
            <w:vAlign w:val="bottom"/>
          </w:tcPr>
          <w:p w14:paraId="0115383D"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261B3CE6" w14:textId="77777777" w:rsidR="00A81870" w:rsidRDefault="00A81870" w:rsidP="00957225">
            <w:pPr>
              <w:pStyle w:val="TBodynormalNumber"/>
              <w:keepNext/>
            </w:pPr>
            <w:r>
              <w:t>-25</w:t>
            </w:r>
          </w:p>
        </w:tc>
        <w:tc>
          <w:tcPr>
            <w:tcW w:w="119" w:type="dxa"/>
            <w:noWrap/>
            <w:vAlign w:val="bottom"/>
          </w:tcPr>
          <w:p w14:paraId="7DFC1AFE"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4BA48D01" w14:textId="77777777" w:rsidR="00A81870" w:rsidRDefault="00A81870" w:rsidP="00957225">
            <w:pPr>
              <w:pStyle w:val="TBodynormalNumber"/>
              <w:keepNext/>
            </w:pPr>
            <w:r>
              <w:t>-40</w:t>
            </w:r>
          </w:p>
        </w:tc>
        <w:tc>
          <w:tcPr>
            <w:tcW w:w="119" w:type="dxa"/>
            <w:noWrap/>
            <w:vAlign w:val="bottom"/>
          </w:tcPr>
          <w:p w14:paraId="02C231DD"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6EFF9E3C" w14:textId="77777777" w:rsidR="00A81870" w:rsidRDefault="00A81870" w:rsidP="00957225">
            <w:pPr>
              <w:pStyle w:val="TBodynormalNumber"/>
              <w:keepNext/>
            </w:pPr>
            <w:r>
              <w:t> </w:t>
            </w:r>
          </w:p>
        </w:tc>
        <w:tc>
          <w:tcPr>
            <w:tcW w:w="119" w:type="dxa"/>
            <w:noWrap/>
            <w:vAlign w:val="bottom"/>
          </w:tcPr>
          <w:p w14:paraId="5F66516B"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734E5CBF" w14:textId="77777777" w:rsidR="00A81870" w:rsidRDefault="00A81870" w:rsidP="00957225">
            <w:pPr>
              <w:pStyle w:val="TBodynormalNumber"/>
              <w:keepNext/>
            </w:pPr>
            <w:r>
              <w:t>-75</w:t>
            </w:r>
          </w:p>
        </w:tc>
        <w:tc>
          <w:tcPr>
            <w:tcW w:w="119" w:type="dxa"/>
            <w:noWrap/>
            <w:vAlign w:val="bottom"/>
          </w:tcPr>
          <w:p w14:paraId="2048F44A"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29D079C0" w14:textId="77777777" w:rsidR="00A81870" w:rsidRDefault="00A81870" w:rsidP="00957225">
            <w:pPr>
              <w:pStyle w:val="TBodynormalNumber"/>
              <w:keepNext/>
            </w:pPr>
            <w:r>
              <w:t>-62</w:t>
            </w:r>
          </w:p>
        </w:tc>
        <w:tc>
          <w:tcPr>
            <w:tcW w:w="119" w:type="dxa"/>
            <w:noWrap/>
            <w:vAlign w:val="bottom"/>
          </w:tcPr>
          <w:p w14:paraId="3DDB7D70" w14:textId="77777777" w:rsidR="00A81870" w:rsidRDefault="00A81870" w:rsidP="00957225">
            <w:pPr>
              <w:pStyle w:val="TBodynormalNumber"/>
              <w:keepNext/>
            </w:pPr>
            <w:r>
              <w:t> </w:t>
            </w:r>
          </w:p>
        </w:tc>
        <w:tc>
          <w:tcPr>
            <w:tcW w:w="1021" w:type="dxa"/>
            <w:tcBorders>
              <w:top w:val="single" w:sz="4" w:space="0" w:color="A59C94"/>
              <w:bottom w:val="single" w:sz="4" w:space="0" w:color="A59C94"/>
            </w:tcBorders>
            <w:noWrap/>
            <w:vAlign w:val="bottom"/>
          </w:tcPr>
          <w:p w14:paraId="2867FE7E" w14:textId="77777777" w:rsidR="00A81870" w:rsidRDefault="00A81870" w:rsidP="00957225">
            <w:pPr>
              <w:pStyle w:val="TBodynormalNumber"/>
              <w:keepNext/>
            </w:pPr>
            <w:r>
              <w:t> </w:t>
            </w:r>
          </w:p>
        </w:tc>
      </w:tr>
      <w:tr w:rsidR="00A81870" w14:paraId="54399565" w14:textId="77777777" w:rsidTr="00957225">
        <w:tc>
          <w:tcPr>
            <w:tcW w:w="2914" w:type="dxa"/>
            <w:tcBorders>
              <w:top w:val="single" w:sz="4" w:space="0" w:color="A59C94"/>
              <w:bottom w:val="single" w:sz="4" w:space="0" w:color="000000"/>
            </w:tcBorders>
            <w:noWrap/>
            <w:vAlign w:val="bottom"/>
          </w:tcPr>
          <w:p w14:paraId="28E54BE5" w14:textId="77777777" w:rsidR="00A81870" w:rsidRPr="002B1E3C" w:rsidRDefault="00A81870" w:rsidP="00957225">
            <w:pPr>
              <w:pStyle w:val="TBodysubtotalText"/>
              <w:keepNext/>
              <w:rPr>
                <w:lang w:val="en-US"/>
              </w:rPr>
            </w:pPr>
            <w:bookmarkStart w:id="9" w:name="RANGE!B13:N13"/>
            <w:r w:rsidRPr="002B1E3C">
              <w:rPr>
                <w:bCs/>
                <w:lang w:val="en-US"/>
              </w:rPr>
              <w:t>Income before income taxes, continuing operations</w:t>
            </w:r>
            <w:bookmarkEnd w:id="9"/>
          </w:p>
        </w:tc>
        <w:tc>
          <w:tcPr>
            <w:tcW w:w="119" w:type="dxa"/>
            <w:noWrap/>
            <w:vAlign w:val="bottom"/>
          </w:tcPr>
          <w:p w14:paraId="7F9D69F4" w14:textId="77777777" w:rsidR="00A81870" w:rsidRPr="002B1E3C" w:rsidRDefault="00A81870" w:rsidP="00957225">
            <w:pPr>
              <w:pStyle w:val="TBodysubtotalNumber"/>
              <w:keepNext/>
              <w:rPr>
                <w:lang w:val="en-US"/>
              </w:rPr>
            </w:pPr>
            <w:r w:rsidRPr="002B1E3C">
              <w:rPr>
                <w:bCs/>
                <w:lang w:val="en-US"/>
              </w:rPr>
              <w:t> </w:t>
            </w:r>
          </w:p>
        </w:tc>
        <w:tc>
          <w:tcPr>
            <w:tcW w:w="1021" w:type="dxa"/>
            <w:tcBorders>
              <w:top w:val="single" w:sz="4" w:space="0" w:color="A59C94"/>
              <w:bottom w:val="single" w:sz="4" w:space="0" w:color="000000"/>
            </w:tcBorders>
            <w:noWrap/>
            <w:vAlign w:val="bottom"/>
          </w:tcPr>
          <w:p w14:paraId="54F6A6B5" w14:textId="77777777" w:rsidR="00A81870" w:rsidRDefault="00A81870" w:rsidP="00957225">
            <w:pPr>
              <w:pStyle w:val="TBodysubtotalNumber"/>
              <w:keepNext/>
            </w:pPr>
            <w:r>
              <w:rPr>
                <w:bCs/>
              </w:rPr>
              <w:t>163</w:t>
            </w:r>
          </w:p>
        </w:tc>
        <w:tc>
          <w:tcPr>
            <w:tcW w:w="119" w:type="dxa"/>
            <w:noWrap/>
            <w:vAlign w:val="bottom"/>
          </w:tcPr>
          <w:p w14:paraId="15664B58"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10651D6D" w14:textId="77777777" w:rsidR="00A81870" w:rsidRDefault="00A81870" w:rsidP="00957225">
            <w:pPr>
              <w:pStyle w:val="TBodysubtotalNumber"/>
              <w:keepNext/>
            </w:pPr>
            <w:r>
              <w:rPr>
                <w:bCs/>
              </w:rPr>
              <w:t>340</w:t>
            </w:r>
          </w:p>
        </w:tc>
        <w:tc>
          <w:tcPr>
            <w:tcW w:w="119" w:type="dxa"/>
            <w:noWrap/>
            <w:vAlign w:val="bottom"/>
          </w:tcPr>
          <w:p w14:paraId="1226A9C1"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704B0BB4" w14:textId="77777777" w:rsidR="00A81870" w:rsidRDefault="00A81870" w:rsidP="00957225">
            <w:pPr>
              <w:pStyle w:val="TBodysubtotalNumber"/>
              <w:keepNext/>
            </w:pPr>
            <w:r>
              <w:rPr>
                <w:bCs/>
              </w:rPr>
              <w:t>109</w:t>
            </w:r>
          </w:p>
        </w:tc>
        <w:tc>
          <w:tcPr>
            <w:tcW w:w="119" w:type="dxa"/>
            <w:noWrap/>
            <w:vAlign w:val="bottom"/>
          </w:tcPr>
          <w:p w14:paraId="0A0CFA3F"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2EE8EE1F" w14:textId="77777777" w:rsidR="00A81870" w:rsidRDefault="00A81870" w:rsidP="00957225">
            <w:pPr>
              <w:pStyle w:val="TBodysubtotalNumber"/>
              <w:keepNext/>
            </w:pPr>
            <w:r>
              <w:rPr>
                <w:bCs/>
              </w:rPr>
              <w:t>360</w:t>
            </w:r>
          </w:p>
        </w:tc>
        <w:tc>
          <w:tcPr>
            <w:tcW w:w="119" w:type="dxa"/>
            <w:noWrap/>
            <w:vAlign w:val="bottom"/>
          </w:tcPr>
          <w:p w14:paraId="3903EDAF"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66C224EB" w14:textId="77777777" w:rsidR="00A81870" w:rsidRDefault="00A81870" w:rsidP="00957225">
            <w:pPr>
              <w:pStyle w:val="TBodysubtotalNumber"/>
              <w:keepNext/>
            </w:pPr>
            <w:r>
              <w:rPr>
                <w:bCs/>
              </w:rPr>
              <w:t>626</w:t>
            </w:r>
          </w:p>
        </w:tc>
        <w:tc>
          <w:tcPr>
            <w:tcW w:w="119" w:type="dxa"/>
            <w:noWrap/>
            <w:vAlign w:val="bottom"/>
          </w:tcPr>
          <w:p w14:paraId="410F3D1D"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00A8510A" w14:textId="77777777" w:rsidR="00A81870" w:rsidRDefault="00A81870" w:rsidP="00957225">
            <w:pPr>
              <w:pStyle w:val="TBodysubtotalNumber"/>
              <w:keepNext/>
            </w:pPr>
            <w:r>
              <w:rPr>
                <w:bCs/>
              </w:rPr>
              <w:t>74</w:t>
            </w:r>
          </w:p>
        </w:tc>
      </w:tr>
      <w:tr w:rsidR="00A81870" w14:paraId="4E087C7E" w14:textId="77777777" w:rsidTr="00957225">
        <w:trPr>
          <w:trHeight w:val="340"/>
        </w:trPr>
        <w:tc>
          <w:tcPr>
            <w:tcW w:w="2914" w:type="dxa"/>
            <w:tcBorders>
              <w:top w:val="single" w:sz="4" w:space="0" w:color="000000"/>
              <w:bottom w:val="single" w:sz="4" w:space="0" w:color="A59C94"/>
            </w:tcBorders>
            <w:noWrap/>
            <w:vAlign w:val="bottom"/>
          </w:tcPr>
          <w:p w14:paraId="40251657" w14:textId="77777777" w:rsidR="00A81870" w:rsidRDefault="00A81870" w:rsidP="00957225">
            <w:pPr>
              <w:pStyle w:val="TBodynormalText"/>
            </w:pPr>
            <w:bookmarkStart w:id="10" w:name="RANGE!B14:N14"/>
            <w:r>
              <w:t xml:space="preserve">Income </w:t>
            </w:r>
            <w:proofErr w:type="spellStart"/>
            <w:r>
              <w:t>taxes</w:t>
            </w:r>
            <w:bookmarkEnd w:id="10"/>
            <w:proofErr w:type="spellEnd"/>
          </w:p>
        </w:tc>
        <w:tc>
          <w:tcPr>
            <w:tcW w:w="119" w:type="dxa"/>
            <w:noWrap/>
            <w:vAlign w:val="bottom"/>
          </w:tcPr>
          <w:p w14:paraId="69D6D3F5"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718E3B5D" w14:textId="77777777" w:rsidR="00A81870" w:rsidRDefault="00A81870" w:rsidP="00957225">
            <w:pPr>
              <w:pStyle w:val="TBodynormalNumber"/>
              <w:keepNext/>
            </w:pPr>
            <w:r>
              <w:t>-34</w:t>
            </w:r>
          </w:p>
        </w:tc>
        <w:tc>
          <w:tcPr>
            <w:tcW w:w="119" w:type="dxa"/>
            <w:noWrap/>
            <w:vAlign w:val="bottom"/>
          </w:tcPr>
          <w:p w14:paraId="7888450F"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1ECE4E68" w14:textId="77777777" w:rsidR="00A81870" w:rsidRDefault="00A81870" w:rsidP="00957225">
            <w:pPr>
              <w:pStyle w:val="TBodynormalNumber"/>
              <w:keepNext/>
            </w:pPr>
            <w:r>
              <w:t>-113</w:t>
            </w:r>
          </w:p>
        </w:tc>
        <w:tc>
          <w:tcPr>
            <w:tcW w:w="119" w:type="dxa"/>
            <w:noWrap/>
            <w:vAlign w:val="bottom"/>
          </w:tcPr>
          <w:p w14:paraId="6BA2AC4B"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5AB8A225" w14:textId="77777777" w:rsidR="00A81870" w:rsidRDefault="00A81870" w:rsidP="00957225">
            <w:pPr>
              <w:pStyle w:val="TBodynormalNumber"/>
              <w:keepNext/>
            </w:pPr>
            <w:r>
              <w:t> </w:t>
            </w:r>
          </w:p>
        </w:tc>
        <w:tc>
          <w:tcPr>
            <w:tcW w:w="119" w:type="dxa"/>
            <w:noWrap/>
            <w:vAlign w:val="bottom"/>
          </w:tcPr>
          <w:p w14:paraId="78314AAB"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160A6B2C" w14:textId="77777777" w:rsidR="00A81870" w:rsidRDefault="00A81870" w:rsidP="00957225">
            <w:pPr>
              <w:pStyle w:val="TBodynormalNumber"/>
              <w:keepNext/>
            </w:pPr>
            <w:r>
              <w:t>-91</w:t>
            </w:r>
          </w:p>
        </w:tc>
        <w:tc>
          <w:tcPr>
            <w:tcW w:w="119" w:type="dxa"/>
            <w:noWrap/>
            <w:vAlign w:val="bottom"/>
          </w:tcPr>
          <w:p w14:paraId="28BE43F0"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26411692" w14:textId="77777777" w:rsidR="00A81870" w:rsidRDefault="00A81870" w:rsidP="00957225">
            <w:pPr>
              <w:pStyle w:val="TBodynormalNumber"/>
              <w:keepNext/>
            </w:pPr>
            <w:r>
              <w:t>-200</w:t>
            </w:r>
          </w:p>
        </w:tc>
        <w:tc>
          <w:tcPr>
            <w:tcW w:w="119" w:type="dxa"/>
            <w:noWrap/>
            <w:vAlign w:val="bottom"/>
          </w:tcPr>
          <w:p w14:paraId="2A0BA459"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1BACC4D9" w14:textId="77777777" w:rsidR="00A81870" w:rsidRDefault="00A81870" w:rsidP="00957225">
            <w:pPr>
              <w:pStyle w:val="TBodynormalNumber"/>
              <w:keepNext/>
            </w:pPr>
            <w:r>
              <w:t> </w:t>
            </w:r>
          </w:p>
        </w:tc>
      </w:tr>
      <w:tr w:rsidR="00A81870" w14:paraId="3A7C5925" w14:textId="77777777" w:rsidTr="00957225">
        <w:tc>
          <w:tcPr>
            <w:tcW w:w="2914" w:type="dxa"/>
            <w:tcBorders>
              <w:top w:val="single" w:sz="4" w:space="0" w:color="A59C94"/>
              <w:bottom w:val="single" w:sz="4" w:space="0" w:color="000000"/>
            </w:tcBorders>
            <w:noWrap/>
            <w:vAlign w:val="bottom"/>
          </w:tcPr>
          <w:p w14:paraId="369CC870" w14:textId="77777777" w:rsidR="00A81870" w:rsidRPr="002B1E3C" w:rsidRDefault="00A81870" w:rsidP="00957225">
            <w:pPr>
              <w:pStyle w:val="TBodysubtotalText"/>
              <w:keepNext/>
              <w:rPr>
                <w:lang w:val="en-US"/>
              </w:rPr>
            </w:pPr>
            <w:bookmarkStart w:id="11" w:name="RANGE!B15:N15"/>
            <w:r w:rsidRPr="002B1E3C">
              <w:rPr>
                <w:bCs/>
                <w:lang w:val="en-US"/>
              </w:rPr>
              <w:t>Income after income taxes, continuing operations</w:t>
            </w:r>
            <w:bookmarkEnd w:id="11"/>
          </w:p>
        </w:tc>
        <w:tc>
          <w:tcPr>
            <w:tcW w:w="119" w:type="dxa"/>
            <w:noWrap/>
            <w:vAlign w:val="bottom"/>
          </w:tcPr>
          <w:p w14:paraId="37C24249" w14:textId="77777777" w:rsidR="00A81870" w:rsidRPr="002B1E3C" w:rsidRDefault="00A81870" w:rsidP="00957225">
            <w:pPr>
              <w:pStyle w:val="TBodysubtotalNumber"/>
              <w:keepNext/>
              <w:rPr>
                <w:lang w:val="en-US"/>
              </w:rPr>
            </w:pPr>
            <w:r w:rsidRPr="002B1E3C">
              <w:rPr>
                <w:bCs/>
                <w:lang w:val="en-US"/>
              </w:rPr>
              <w:t> </w:t>
            </w:r>
          </w:p>
        </w:tc>
        <w:tc>
          <w:tcPr>
            <w:tcW w:w="1021" w:type="dxa"/>
            <w:tcBorders>
              <w:top w:val="single" w:sz="4" w:space="0" w:color="A59C94"/>
              <w:bottom w:val="single" w:sz="4" w:space="0" w:color="000000"/>
            </w:tcBorders>
            <w:noWrap/>
            <w:vAlign w:val="bottom"/>
          </w:tcPr>
          <w:p w14:paraId="3275BCF1" w14:textId="77777777" w:rsidR="00A81870" w:rsidRDefault="00A81870" w:rsidP="00957225">
            <w:pPr>
              <w:pStyle w:val="TBodysubtotalNumber"/>
              <w:keepNext/>
            </w:pPr>
            <w:r>
              <w:rPr>
                <w:bCs/>
              </w:rPr>
              <w:t>129</w:t>
            </w:r>
          </w:p>
        </w:tc>
        <w:tc>
          <w:tcPr>
            <w:tcW w:w="119" w:type="dxa"/>
            <w:noWrap/>
            <w:vAlign w:val="bottom"/>
          </w:tcPr>
          <w:p w14:paraId="69DE3BE5"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0DACB1F0" w14:textId="77777777" w:rsidR="00A81870" w:rsidRDefault="00A81870" w:rsidP="00957225">
            <w:pPr>
              <w:pStyle w:val="TBodysubtotalNumber"/>
              <w:keepNext/>
            </w:pPr>
            <w:r>
              <w:rPr>
                <w:bCs/>
              </w:rPr>
              <w:t>227</w:t>
            </w:r>
          </w:p>
        </w:tc>
        <w:tc>
          <w:tcPr>
            <w:tcW w:w="119" w:type="dxa"/>
            <w:noWrap/>
            <w:vAlign w:val="bottom"/>
          </w:tcPr>
          <w:p w14:paraId="3532ED53"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7DC75846" w14:textId="77777777" w:rsidR="00A81870" w:rsidRDefault="00A81870" w:rsidP="00957225">
            <w:pPr>
              <w:pStyle w:val="TBodysubtotalNumber"/>
              <w:keepNext/>
            </w:pPr>
            <w:r>
              <w:rPr>
                <w:bCs/>
              </w:rPr>
              <w:t>76</w:t>
            </w:r>
          </w:p>
        </w:tc>
        <w:tc>
          <w:tcPr>
            <w:tcW w:w="119" w:type="dxa"/>
            <w:noWrap/>
            <w:vAlign w:val="bottom"/>
          </w:tcPr>
          <w:p w14:paraId="63926E70"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03A3A605" w14:textId="77777777" w:rsidR="00A81870" w:rsidRDefault="00A81870" w:rsidP="00957225">
            <w:pPr>
              <w:pStyle w:val="TBodysubtotalNumber"/>
              <w:keepNext/>
            </w:pPr>
            <w:r>
              <w:rPr>
                <w:bCs/>
              </w:rPr>
              <w:t>269</w:t>
            </w:r>
          </w:p>
        </w:tc>
        <w:tc>
          <w:tcPr>
            <w:tcW w:w="119" w:type="dxa"/>
            <w:noWrap/>
            <w:vAlign w:val="bottom"/>
          </w:tcPr>
          <w:p w14:paraId="3824AD70"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721E6E30" w14:textId="77777777" w:rsidR="00A81870" w:rsidRDefault="00A81870" w:rsidP="00957225">
            <w:pPr>
              <w:pStyle w:val="TBodysubtotalNumber"/>
              <w:keepNext/>
            </w:pPr>
            <w:r>
              <w:rPr>
                <w:bCs/>
              </w:rPr>
              <w:t>426</w:t>
            </w:r>
          </w:p>
        </w:tc>
        <w:tc>
          <w:tcPr>
            <w:tcW w:w="119" w:type="dxa"/>
            <w:noWrap/>
            <w:vAlign w:val="bottom"/>
          </w:tcPr>
          <w:p w14:paraId="147612BD"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10B99456" w14:textId="77777777" w:rsidR="00A81870" w:rsidRDefault="00A81870" w:rsidP="00957225">
            <w:pPr>
              <w:pStyle w:val="TBodysubtotalNumber"/>
              <w:keepNext/>
            </w:pPr>
            <w:r>
              <w:rPr>
                <w:bCs/>
              </w:rPr>
              <w:t>58</w:t>
            </w:r>
          </w:p>
        </w:tc>
      </w:tr>
      <w:tr w:rsidR="00A81870" w14:paraId="47A4A4B2" w14:textId="77777777" w:rsidTr="00957225">
        <w:trPr>
          <w:trHeight w:val="340"/>
        </w:trPr>
        <w:tc>
          <w:tcPr>
            <w:tcW w:w="2914" w:type="dxa"/>
            <w:tcBorders>
              <w:top w:val="single" w:sz="4" w:space="0" w:color="000000"/>
              <w:bottom w:val="single" w:sz="4" w:space="0" w:color="A59C94"/>
            </w:tcBorders>
            <w:noWrap/>
            <w:vAlign w:val="bottom"/>
          </w:tcPr>
          <w:p w14:paraId="4F74B93B" w14:textId="77777777" w:rsidR="00A81870" w:rsidRPr="002B1E3C" w:rsidRDefault="00A81870" w:rsidP="00957225">
            <w:pPr>
              <w:pStyle w:val="TBodynormalText"/>
              <w:rPr>
                <w:lang w:val="en-US"/>
              </w:rPr>
            </w:pPr>
            <w:bookmarkStart w:id="12" w:name="RANGE!B16:N16"/>
            <w:r w:rsidRPr="002B1E3C">
              <w:rPr>
                <w:lang w:val="en-US"/>
              </w:rPr>
              <w:t>Income after taxes, discontinued operations</w:t>
            </w:r>
            <w:bookmarkEnd w:id="12"/>
          </w:p>
        </w:tc>
        <w:tc>
          <w:tcPr>
            <w:tcW w:w="119" w:type="dxa"/>
            <w:noWrap/>
            <w:vAlign w:val="bottom"/>
          </w:tcPr>
          <w:p w14:paraId="4BF2EFA3" w14:textId="77777777" w:rsidR="00A81870" w:rsidRPr="002B1E3C" w:rsidRDefault="00A81870" w:rsidP="00957225">
            <w:pPr>
              <w:pStyle w:val="TBodynormalNumber"/>
              <w:keepNext/>
              <w:rPr>
                <w:lang w:val="en-US"/>
              </w:rPr>
            </w:pPr>
            <w:r w:rsidRPr="002B1E3C">
              <w:rPr>
                <w:lang w:val="en-US"/>
              </w:rPr>
              <w:t> </w:t>
            </w:r>
          </w:p>
        </w:tc>
        <w:tc>
          <w:tcPr>
            <w:tcW w:w="1021" w:type="dxa"/>
            <w:tcBorders>
              <w:top w:val="single" w:sz="4" w:space="0" w:color="000000"/>
              <w:bottom w:val="single" w:sz="4" w:space="0" w:color="A59C94"/>
            </w:tcBorders>
            <w:noWrap/>
            <w:vAlign w:val="bottom"/>
          </w:tcPr>
          <w:p w14:paraId="41E02CF0" w14:textId="77777777" w:rsidR="00A81870" w:rsidRDefault="00A81870" w:rsidP="00957225">
            <w:pPr>
              <w:pStyle w:val="TBodynormalNumber"/>
              <w:keepNext/>
            </w:pPr>
            <w:r>
              <w:t>-11</w:t>
            </w:r>
          </w:p>
        </w:tc>
        <w:tc>
          <w:tcPr>
            <w:tcW w:w="119" w:type="dxa"/>
            <w:noWrap/>
            <w:vAlign w:val="bottom"/>
          </w:tcPr>
          <w:p w14:paraId="5028BC2B"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45C79450" w14:textId="77777777" w:rsidR="00A81870" w:rsidRDefault="00A81870" w:rsidP="00957225">
            <w:pPr>
              <w:pStyle w:val="TBodynormalNumber"/>
              <w:keepNext/>
            </w:pPr>
            <w:r>
              <w:t>-3</w:t>
            </w:r>
          </w:p>
        </w:tc>
        <w:tc>
          <w:tcPr>
            <w:tcW w:w="119" w:type="dxa"/>
            <w:noWrap/>
            <w:vAlign w:val="bottom"/>
          </w:tcPr>
          <w:p w14:paraId="1491A0F9"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31D9371E" w14:textId="77777777" w:rsidR="00A81870" w:rsidRDefault="00A81870" w:rsidP="00957225">
            <w:pPr>
              <w:pStyle w:val="TBodynormalNumber"/>
              <w:keepNext/>
            </w:pPr>
            <w:r>
              <w:t> </w:t>
            </w:r>
          </w:p>
        </w:tc>
        <w:tc>
          <w:tcPr>
            <w:tcW w:w="119" w:type="dxa"/>
            <w:noWrap/>
            <w:vAlign w:val="bottom"/>
          </w:tcPr>
          <w:p w14:paraId="75243863"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09941A8A" w14:textId="77777777" w:rsidR="00A81870" w:rsidRDefault="00A81870" w:rsidP="00957225">
            <w:pPr>
              <w:pStyle w:val="TBodynormalNumber"/>
              <w:keepNext/>
            </w:pPr>
            <w:r>
              <w:t>-18</w:t>
            </w:r>
          </w:p>
        </w:tc>
        <w:tc>
          <w:tcPr>
            <w:tcW w:w="119" w:type="dxa"/>
            <w:noWrap/>
            <w:vAlign w:val="bottom"/>
          </w:tcPr>
          <w:p w14:paraId="11CADB41"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2E4A0C27" w14:textId="77777777" w:rsidR="00A81870" w:rsidRDefault="00A81870" w:rsidP="00957225">
            <w:pPr>
              <w:pStyle w:val="TBodynormalNumber"/>
              <w:keepNext/>
            </w:pPr>
            <w:r>
              <w:t>-10</w:t>
            </w:r>
          </w:p>
        </w:tc>
        <w:tc>
          <w:tcPr>
            <w:tcW w:w="119" w:type="dxa"/>
            <w:noWrap/>
            <w:vAlign w:val="bottom"/>
          </w:tcPr>
          <w:p w14:paraId="69C10F34"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2E713255" w14:textId="77777777" w:rsidR="00A81870" w:rsidRDefault="00A81870" w:rsidP="00957225">
            <w:pPr>
              <w:pStyle w:val="TBodynormalNumber"/>
              <w:keepNext/>
            </w:pPr>
            <w:r>
              <w:t> </w:t>
            </w:r>
          </w:p>
        </w:tc>
      </w:tr>
      <w:tr w:rsidR="00A81870" w14:paraId="0F6AA505" w14:textId="77777777" w:rsidTr="00957225">
        <w:tc>
          <w:tcPr>
            <w:tcW w:w="2914" w:type="dxa"/>
            <w:tcBorders>
              <w:top w:val="single" w:sz="4" w:space="0" w:color="A59C94"/>
              <w:bottom w:val="single" w:sz="4" w:space="0" w:color="000000"/>
            </w:tcBorders>
            <w:noWrap/>
            <w:vAlign w:val="bottom"/>
          </w:tcPr>
          <w:p w14:paraId="124F14E3" w14:textId="77777777" w:rsidR="00A81870" w:rsidRDefault="00A81870" w:rsidP="00957225">
            <w:pPr>
              <w:pStyle w:val="TBodysubtotalText"/>
              <w:keepNext/>
            </w:pPr>
            <w:bookmarkStart w:id="13" w:name="RANGE!B17:N17"/>
            <w:r>
              <w:rPr>
                <w:bCs/>
              </w:rPr>
              <w:t xml:space="preserve">Income after </w:t>
            </w:r>
            <w:proofErr w:type="spellStart"/>
            <w:r>
              <w:rPr>
                <w:bCs/>
              </w:rPr>
              <w:t>taxes</w:t>
            </w:r>
            <w:bookmarkEnd w:id="13"/>
            <w:proofErr w:type="spellEnd"/>
          </w:p>
        </w:tc>
        <w:tc>
          <w:tcPr>
            <w:tcW w:w="119" w:type="dxa"/>
            <w:noWrap/>
            <w:vAlign w:val="bottom"/>
          </w:tcPr>
          <w:p w14:paraId="7EE1023B"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191F935D" w14:textId="77777777" w:rsidR="00A81870" w:rsidRDefault="00A81870" w:rsidP="00957225">
            <w:pPr>
              <w:pStyle w:val="TBodysubtotalNumber"/>
              <w:keepNext/>
            </w:pPr>
            <w:r>
              <w:rPr>
                <w:bCs/>
              </w:rPr>
              <w:t>118</w:t>
            </w:r>
          </w:p>
        </w:tc>
        <w:tc>
          <w:tcPr>
            <w:tcW w:w="119" w:type="dxa"/>
            <w:noWrap/>
            <w:vAlign w:val="bottom"/>
          </w:tcPr>
          <w:p w14:paraId="6B65090F"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1E198015" w14:textId="77777777" w:rsidR="00A81870" w:rsidRDefault="00A81870" w:rsidP="00957225">
            <w:pPr>
              <w:pStyle w:val="TBodysubtotalNumber"/>
              <w:keepNext/>
            </w:pPr>
            <w:r>
              <w:rPr>
                <w:bCs/>
              </w:rPr>
              <w:t>224</w:t>
            </w:r>
          </w:p>
        </w:tc>
        <w:tc>
          <w:tcPr>
            <w:tcW w:w="119" w:type="dxa"/>
            <w:noWrap/>
            <w:vAlign w:val="bottom"/>
          </w:tcPr>
          <w:p w14:paraId="53537461"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43A48368" w14:textId="77777777" w:rsidR="00A81870" w:rsidRDefault="00A81870" w:rsidP="00957225">
            <w:pPr>
              <w:pStyle w:val="TBodysubtotalNumber"/>
              <w:keepNext/>
            </w:pPr>
            <w:r>
              <w:rPr>
                <w:bCs/>
              </w:rPr>
              <w:t>90</w:t>
            </w:r>
          </w:p>
        </w:tc>
        <w:tc>
          <w:tcPr>
            <w:tcW w:w="119" w:type="dxa"/>
            <w:noWrap/>
            <w:vAlign w:val="bottom"/>
          </w:tcPr>
          <w:p w14:paraId="19520247"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7A2E1AEE" w14:textId="77777777" w:rsidR="00A81870" w:rsidRDefault="00A81870" w:rsidP="00957225">
            <w:pPr>
              <w:pStyle w:val="TBodysubtotalNumber"/>
              <w:keepNext/>
            </w:pPr>
            <w:r>
              <w:rPr>
                <w:bCs/>
              </w:rPr>
              <w:t>251</w:t>
            </w:r>
          </w:p>
        </w:tc>
        <w:tc>
          <w:tcPr>
            <w:tcW w:w="119" w:type="dxa"/>
            <w:noWrap/>
            <w:vAlign w:val="bottom"/>
          </w:tcPr>
          <w:p w14:paraId="55CC250E"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13B66906" w14:textId="77777777" w:rsidR="00A81870" w:rsidRDefault="00A81870" w:rsidP="00957225">
            <w:pPr>
              <w:pStyle w:val="TBodysubtotalNumber"/>
              <w:keepNext/>
            </w:pPr>
            <w:r>
              <w:rPr>
                <w:bCs/>
              </w:rPr>
              <w:t>416</w:t>
            </w:r>
          </w:p>
        </w:tc>
        <w:tc>
          <w:tcPr>
            <w:tcW w:w="119" w:type="dxa"/>
            <w:noWrap/>
            <w:vAlign w:val="bottom"/>
          </w:tcPr>
          <w:p w14:paraId="57E7C3F9"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71561B85" w14:textId="77777777" w:rsidR="00A81870" w:rsidRDefault="00A81870" w:rsidP="00957225">
            <w:pPr>
              <w:pStyle w:val="TBodysubtotalNumber"/>
              <w:keepNext/>
            </w:pPr>
            <w:r>
              <w:rPr>
                <w:bCs/>
              </w:rPr>
              <w:t>66</w:t>
            </w:r>
          </w:p>
        </w:tc>
      </w:tr>
      <w:tr w:rsidR="00A81870" w14:paraId="091AC106" w14:textId="77777777" w:rsidTr="00957225">
        <w:trPr>
          <w:trHeight w:val="340"/>
        </w:trPr>
        <w:tc>
          <w:tcPr>
            <w:tcW w:w="2914" w:type="dxa"/>
            <w:tcBorders>
              <w:top w:val="single" w:sz="4" w:space="0" w:color="000000"/>
              <w:bottom w:val="single" w:sz="4" w:space="0" w:color="A59C94"/>
            </w:tcBorders>
            <w:noWrap/>
            <w:vAlign w:val="bottom"/>
          </w:tcPr>
          <w:p w14:paraId="09497348" w14:textId="77777777" w:rsidR="00A81870" w:rsidRPr="002B1E3C" w:rsidRDefault="00A81870" w:rsidP="00957225">
            <w:pPr>
              <w:pStyle w:val="TBodynormalText"/>
              <w:rPr>
                <w:lang w:val="en-US"/>
              </w:rPr>
            </w:pPr>
            <w:bookmarkStart w:id="14" w:name="RANGE!B18:N18"/>
            <w:r w:rsidRPr="002B1E3C">
              <w:rPr>
                <w:lang w:val="en-US"/>
              </w:rPr>
              <w:t>thereof attributable to non-controlling interests</w:t>
            </w:r>
            <w:bookmarkEnd w:id="14"/>
          </w:p>
        </w:tc>
        <w:tc>
          <w:tcPr>
            <w:tcW w:w="119" w:type="dxa"/>
            <w:noWrap/>
            <w:vAlign w:val="bottom"/>
          </w:tcPr>
          <w:p w14:paraId="61D8490D" w14:textId="77777777" w:rsidR="00A81870" w:rsidRPr="002B1E3C" w:rsidRDefault="00A81870" w:rsidP="00957225">
            <w:pPr>
              <w:pStyle w:val="TBodynormalNumber"/>
              <w:keepNext/>
              <w:rPr>
                <w:lang w:val="en-US"/>
              </w:rPr>
            </w:pPr>
            <w:r w:rsidRPr="002B1E3C">
              <w:rPr>
                <w:lang w:val="en-US"/>
              </w:rPr>
              <w:t> </w:t>
            </w:r>
          </w:p>
        </w:tc>
        <w:tc>
          <w:tcPr>
            <w:tcW w:w="1021" w:type="dxa"/>
            <w:tcBorders>
              <w:top w:val="single" w:sz="4" w:space="0" w:color="000000"/>
              <w:bottom w:val="single" w:sz="4" w:space="0" w:color="A59C94"/>
            </w:tcBorders>
            <w:noWrap/>
            <w:vAlign w:val="bottom"/>
          </w:tcPr>
          <w:p w14:paraId="417764E5" w14:textId="77777777" w:rsidR="00A81870" w:rsidRDefault="00A81870" w:rsidP="00957225">
            <w:pPr>
              <w:pStyle w:val="TBodynormalNumber"/>
              <w:keepNext/>
            </w:pPr>
            <w:r>
              <w:t>4</w:t>
            </w:r>
          </w:p>
        </w:tc>
        <w:tc>
          <w:tcPr>
            <w:tcW w:w="119" w:type="dxa"/>
            <w:noWrap/>
            <w:vAlign w:val="bottom"/>
          </w:tcPr>
          <w:p w14:paraId="1C66719F"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21219EBB" w14:textId="77777777" w:rsidR="00A81870" w:rsidRDefault="00A81870" w:rsidP="00957225">
            <w:pPr>
              <w:pStyle w:val="TBodynormalNumber"/>
              <w:keepNext/>
            </w:pPr>
            <w:r>
              <w:t>6</w:t>
            </w:r>
          </w:p>
        </w:tc>
        <w:tc>
          <w:tcPr>
            <w:tcW w:w="119" w:type="dxa"/>
            <w:noWrap/>
            <w:vAlign w:val="bottom"/>
          </w:tcPr>
          <w:p w14:paraId="21D327BB"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3CA7E276" w14:textId="77777777" w:rsidR="00A81870" w:rsidRDefault="00A81870" w:rsidP="00957225">
            <w:pPr>
              <w:pStyle w:val="TBodynormalNumber"/>
              <w:keepNext/>
            </w:pPr>
            <w:r>
              <w:t> </w:t>
            </w:r>
          </w:p>
        </w:tc>
        <w:tc>
          <w:tcPr>
            <w:tcW w:w="119" w:type="dxa"/>
            <w:noWrap/>
            <w:vAlign w:val="bottom"/>
          </w:tcPr>
          <w:p w14:paraId="0FA7A52F"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2D78A729" w14:textId="77777777" w:rsidR="00A81870" w:rsidRDefault="00A81870" w:rsidP="00957225">
            <w:pPr>
              <w:pStyle w:val="TBodynormalNumber"/>
              <w:keepNext/>
            </w:pPr>
            <w:r>
              <w:t>7</w:t>
            </w:r>
          </w:p>
        </w:tc>
        <w:tc>
          <w:tcPr>
            <w:tcW w:w="119" w:type="dxa"/>
            <w:noWrap/>
            <w:vAlign w:val="bottom"/>
          </w:tcPr>
          <w:p w14:paraId="08B19462"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1F9627D4" w14:textId="77777777" w:rsidR="00A81870" w:rsidRDefault="00A81870" w:rsidP="00957225">
            <w:pPr>
              <w:pStyle w:val="TBodynormalNumber"/>
              <w:keepNext/>
            </w:pPr>
            <w:r>
              <w:t>11</w:t>
            </w:r>
          </w:p>
        </w:tc>
        <w:tc>
          <w:tcPr>
            <w:tcW w:w="119" w:type="dxa"/>
            <w:noWrap/>
            <w:vAlign w:val="bottom"/>
          </w:tcPr>
          <w:p w14:paraId="5E82BAA5" w14:textId="77777777" w:rsidR="00A81870" w:rsidRDefault="00A81870" w:rsidP="00957225">
            <w:pPr>
              <w:pStyle w:val="TBodynormalNumber"/>
              <w:keepNext/>
            </w:pPr>
            <w:r>
              <w:t> </w:t>
            </w:r>
          </w:p>
        </w:tc>
        <w:tc>
          <w:tcPr>
            <w:tcW w:w="1021" w:type="dxa"/>
            <w:tcBorders>
              <w:top w:val="single" w:sz="4" w:space="0" w:color="000000"/>
              <w:bottom w:val="single" w:sz="4" w:space="0" w:color="A59C94"/>
            </w:tcBorders>
            <w:noWrap/>
            <w:vAlign w:val="bottom"/>
          </w:tcPr>
          <w:p w14:paraId="583F227C" w14:textId="77777777" w:rsidR="00A81870" w:rsidRDefault="00A81870" w:rsidP="00957225">
            <w:pPr>
              <w:pStyle w:val="TBodynormalNumber"/>
              <w:keepNext/>
            </w:pPr>
            <w:r>
              <w:t> </w:t>
            </w:r>
          </w:p>
        </w:tc>
      </w:tr>
      <w:tr w:rsidR="00A81870" w14:paraId="2BD8370F" w14:textId="77777777" w:rsidTr="00957225">
        <w:tc>
          <w:tcPr>
            <w:tcW w:w="2914" w:type="dxa"/>
            <w:tcBorders>
              <w:top w:val="single" w:sz="4" w:space="0" w:color="A59C94"/>
              <w:bottom w:val="single" w:sz="4" w:space="0" w:color="000000"/>
            </w:tcBorders>
            <w:noWrap/>
            <w:vAlign w:val="bottom"/>
          </w:tcPr>
          <w:p w14:paraId="626BABB7" w14:textId="77777777" w:rsidR="00A81870" w:rsidRDefault="00A81870" w:rsidP="00957225">
            <w:pPr>
              <w:pStyle w:val="TBodysubtotalText"/>
              <w:keepNext/>
            </w:pPr>
            <w:bookmarkStart w:id="15" w:name="RANGE!B19:N19"/>
            <w:r>
              <w:rPr>
                <w:bCs/>
              </w:rPr>
              <w:t>Net Income</w:t>
            </w:r>
            <w:bookmarkEnd w:id="15"/>
          </w:p>
        </w:tc>
        <w:tc>
          <w:tcPr>
            <w:tcW w:w="119" w:type="dxa"/>
            <w:noWrap/>
            <w:vAlign w:val="bottom"/>
          </w:tcPr>
          <w:p w14:paraId="57A76F95"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4D709ABE" w14:textId="77777777" w:rsidR="00A81870" w:rsidRDefault="00A81870" w:rsidP="00957225">
            <w:pPr>
              <w:pStyle w:val="TBodysubtotalNumber"/>
              <w:keepNext/>
            </w:pPr>
            <w:r>
              <w:rPr>
                <w:bCs/>
              </w:rPr>
              <w:t>114</w:t>
            </w:r>
          </w:p>
        </w:tc>
        <w:tc>
          <w:tcPr>
            <w:tcW w:w="119" w:type="dxa"/>
            <w:noWrap/>
            <w:vAlign w:val="bottom"/>
          </w:tcPr>
          <w:p w14:paraId="73ED4F46"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720731FA" w14:textId="77777777" w:rsidR="00A81870" w:rsidRDefault="00A81870" w:rsidP="00957225">
            <w:pPr>
              <w:pStyle w:val="TBodysubtotalNumber"/>
              <w:keepNext/>
            </w:pPr>
            <w:r>
              <w:rPr>
                <w:bCs/>
              </w:rPr>
              <w:t>218</w:t>
            </w:r>
          </w:p>
        </w:tc>
        <w:tc>
          <w:tcPr>
            <w:tcW w:w="119" w:type="dxa"/>
            <w:noWrap/>
            <w:vAlign w:val="bottom"/>
          </w:tcPr>
          <w:p w14:paraId="19154646"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6035A80C" w14:textId="77777777" w:rsidR="00A81870" w:rsidRDefault="00A81870" w:rsidP="00957225">
            <w:pPr>
              <w:pStyle w:val="TBodysubtotalNumber"/>
              <w:keepNext/>
            </w:pPr>
            <w:r>
              <w:rPr>
                <w:bCs/>
              </w:rPr>
              <w:t>91</w:t>
            </w:r>
          </w:p>
        </w:tc>
        <w:tc>
          <w:tcPr>
            <w:tcW w:w="119" w:type="dxa"/>
            <w:noWrap/>
            <w:vAlign w:val="bottom"/>
          </w:tcPr>
          <w:p w14:paraId="057CAC2E"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1AE60FB2" w14:textId="77777777" w:rsidR="00A81870" w:rsidRDefault="00A81870" w:rsidP="00957225">
            <w:pPr>
              <w:pStyle w:val="TBodysubtotalNumber"/>
              <w:keepNext/>
            </w:pPr>
            <w:r>
              <w:rPr>
                <w:bCs/>
              </w:rPr>
              <w:t>244</w:t>
            </w:r>
          </w:p>
        </w:tc>
        <w:tc>
          <w:tcPr>
            <w:tcW w:w="119" w:type="dxa"/>
            <w:noWrap/>
            <w:vAlign w:val="bottom"/>
          </w:tcPr>
          <w:p w14:paraId="06F4CEDF"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shd w:val="clear" w:color="000000" w:fill="DAD5C9"/>
            <w:noWrap/>
            <w:vAlign w:val="bottom"/>
          </w:tcPr>
          <w:p w14:paraId="78B1051E" w14:textId="77777777" w:rsidR="00A81870" w:rsidRDefault="00A81870" w:rsidP="00957225">
            <w:pPr>
              <w:pStyle w:val="TBodysubtotalNumber"/>
              <w:keepNext/>
            </w:pPr>
            <w:r>
              <w:rPr>
                <w:bCs/>
              </w:rPr>
              <w:t>405</w:t>
            </w:r>
          </w:p>
        </w:tc>
        <w:tc>
          <w:tcPr>
            <w:tcW w:w="119" w:type="dxa"/>
            <w:noWrap/>
            <w:vAlign w:val="bottom"/>
          </w:tcPr>
          <w:p w14:paraId="3A1E545F" w14:textId="77777777" w:rsidR="00A81870" w:rsidRDefault="00A81870" w:rsidP="00957225">
            <w:pPr>
              <w:pStyle w:val="TBodysubtotalNumber"/>
              <w:keepNext/>
            </w:pPr>
            <w:r>
              <w:rPr>
                <w:bCs/>
              </w:rPr>
              <w:t> </w:t>
            </w:r>
          </w:p>
        </w:tc>
        <w:tc>
          <w:tcPr>
            <w:tcW w:w="1021" w:type="dxa"/>
            <w:tcBorders>
              <w:top w:val="single" w:sz="4" w:space="0" w:color="A59C94"/>
              <w:bottom w:val="single" w:sz="4" w:space="0" w:color="000000"/>
            </w:tcBorders>
            <w:noWrap/>
            <w:vAlign w:val="bottom"/>
          </w:tcPr>
          <w:p w14:paraId="38979FBF" w14:textId="77777777" w:rsidR="00A81870" w:rsidRDefault="00A81870" w:rsidP="00957225">
            <w:pPr>
              <w:pStyle w:val="TBodysubtotalNumber"/>
              <w:keepNext/>
            </w:pPr>
            <w:r>
              <w:rPr>
                <w:bCs/>
              </w:rPr>
              <w:t>66</w:t>
            </w:r>
          </w:p>
        </w:tc>
      </w:tr>
      <w:tr w:rsidR="00A81870" w14:paraId="022FF7BD" w14:textId="77777777" w:rsidTr="00957225">
        <w:trPr>
          <w:trHeight w:val="340"/>
        </w:trPr>
        <w:tc>
          <w:tcPr>
            <w:tcW w:w="2914" w:type="dxa"/>
            <w:tcBorders>
              <w:top w:val="single" w:sz="4" w:space="0" w:color="000000"/>
              <w:bottom w:val="single" w:sz="16" w:space="0" w:color="991D85"/>
            </w:tcBorders>
            <w:noWrap/>
            <w:vAlign w:val="bottom"/>
          </w:tcPr>
          <w:p w14:paraId="20C4F7AB" w14:textId="77777777" w:rsidR="00A81870" w:rsidRDefault="00A81870" w:rsidP="00957225">
            <w:pPr>
              <w:pStyle w:val="TBodynormalText"/>
            </w:pPr>
            <w:bookmarkStart w:id="16" w:name="RANGE!B20:N20"/>
            <w:proofErr w:type="spellStart"/>
            <w:r>
              <w:rPr>
                <w:b/>
                <w:bCs/>
              </w:rPr>
              <w:t>Adjusted</w:t>
            </w:r>
            <w:proofErr w:type="spellEnd"/>
            <w:r>
              <w:rPr>
                <w:b/>
                <w:bCs/>
              </w:rPr>
              <w:t xml:space="preserve"> </w:t>
            </w:r>
            <w:proofErr w:type="spellStart"/>
            <w:r>
              <w:rPr>
                <w:b/>
                <w:bCs/>
              </w:rPr>
              <w:t>net</w:t>
            </w:r>
            <w:proofErr w:type="spellEnd"/>
            <w:r>
              <w:rPr>
                <w:b/>
                <w:bCs/>
              </w:rPr>
              <w:t xml:space="preserve"> </w:t>
            </w:r>
            <w:proofErr w:type="spellStart"/>
            <w:r>
              <w:rPr>
                <w:b/>
                <w:bCs/>
              </w:rPr>
              <w:t>income</w:t>
            </w:r>
            <w:bookmarkEnd w:id="16"/>
            <w:proofErr w:type="spellEnd"/>
          </w:p>
        </w:tc>
        <w:tc>
          <w:tcPr>
            <w:tcW w:w="119" w:type="dxa"/>
            <w:tcBorders>
              <w:bottom w:val="single" w:sz="16" w:space="0" w:color="991D85"/>
            </w:tcBorders>
            <w:noWrap/>
            <w:vAlign w:val="bottom"/>
          </w:tcPr>
          <w:p w14:paraId="3F5E1DF5" w14:textId="77777777" w:rsidR="00A81870" w:rsidRDefault="00A81870" w:rsidP="00957225">
            <w:pPr>
              <w:pStyle w:val="TBodynormalNumber"/>
              <w:keepNext/>
            </w:pPr>
            <w:r>
              <w:rPr>
                <w:b/>
                <w:bCs/>
              </w:rPr>
              <w:t> </w:t>
            </w:r>
          </w:p>
        </w:tc>
        <w:tc>
          <w:tcPr>
            <w:tcW w:w="1021" w:type="dxa"/>
            <w:tcBorders>
              <w:top w:val="single" w:sz="4" w:space="0" w:color="000000"/>
              <w:bottom w:val="single" w:sz="16" w:space="0" w:color="991D85"/>
            </w:tcBorders>
            <w:noWrap/>
            <w:vAlign w:val="bottom"/>
          </w:tcPr>
          <w:p w14:paraId="18B01ABF" w14:textId="77777777" w:rsidR="00A81870" w:rsidRDefault="00A81870" w:rsidP="00957225">
            <w:pPr>
              <w:pStyle w:val="TBodynormalNumber"/>
              <w:keepNext/>
            </w:pPr>
            <w:r>
              <w:rPr>
                <w:b/>
                <w:bCs/>
              </w:rPr>
              <w:t>160</w:t>
            </w:r>
          </w:p>
        </w:tc>
        <w:tc>
          <w:tcPr>
            <w:tcW w:w="119" w:type="dxa"/>
            <w:tcBorders>
              <w:bottom w:val="single" w:sz="16" w:space="0" w:color="991D85"/>
            </w:tcBorders>
            <w:noWrap/>
            <w:vAlign w:val="bottom"/>
          </w:tcPr>
          <w:p w14:paraId="36FEC397" w14:textId="77777777" w:rsidR="00A81870" w:rsidRDefault="00A81870" w:rsidP="00957225">
            <w:pPr>
              <w:pStyle w:val="TBodynormalNumber"/>
              <w:keepNext/>
            </w:pPr>
            <w:r>
              <w:rPr>
                <w:b/>
                <w:bCs/>
              </w:rPr>
              <w:t> </w:t>
            </w:r>
          </w:p>
        </w:tc>
        <w:tc>
          <w:tcPr>
            <w:tcW w:w="1021" w:type="dxa"/>
            <w:tcBorders>
              <w:top w:val="single" w:sz="4" w:space="0" w:color="000000"/>
              <w:bottom w:val="single" w:sz="16" w:space="0" w:color="991D85"/>
            </w:tcBorders>
            <w:shd w:val="clear" w:color="000000" w:fill="DAD5C9"/>
            <w:noWrap/>
            <w:vAlign w:val="bottom"/>
          </w:tcPr>
          <w:p w14:paraId="66A24627" w14:textId="77777777" w:rsidR="00A81870" w:rsidRDefault="00A81870" w:rsidP="00957225">
            <w:pPr>
              <w:pStyle w:val="TBodynormalNumber"/>
              <w:keepNext/>
            </w:pPr>
            <w:r>
              <w:rPr>
                <w:b/>
                <w:bCs/>
              </w:rPr>
              <w:t>253</w:t>
            </w:r>
          </w:p>
        </w:tc>
        <w:tc>
          <w:tcPr>
            <w:tcW w:w="119" w:type="dxa"/>
            <w:tcBorders>
              <w:bottom w:val="single" w:sz="16" w:space="0" w:color="991D85"/>
            </w:tcBorders>
            <w:noWrap/>
            <w:vAlign w:val="bottom"/>
          </w:tcPr>
          <w:p w14:paraId="7A6A3F40" w14:textId="77777777" w:rsidR="00A81870" w:rsidRDefault="00A81870" w:rsidP="00957225">
            <w:pPr>
              <w:pStyle w:val="TBodynormalNumber"/>
              <w:keepNext/>
            </w:pPr>
            <w:r>
              <w:rPr>
                <w:b/>
                <w:bCs/>
              </w:rPr>
              <w:t> </w:t>
            </w:r>
          </w:p>
        </w:tc>
        <w:tc>
          <w:tcPr>
            <w:tcW w:w="1021" w:type="dxa"/>
            <w:tcBorders>
              <w:top w:val="single" w:sz="4" w:space="0" w:color="000000"/>
              <w:bottom w:val="single" w:sz="16" w:space="0" w:color="991D85"/>
            </w:tcBorders>
            <w:noWrap/>
            <w:vAlign w:val="bottom"/>
          </w:tcPr>
          <w:p w14:paraId="59096878" w14:textId="77777777" w:rsidR="00A81870" w:rsidRDefault="00A81870" w:rsidP="00957225">
            <w:pPr>
              <w:pStyle w:val="TBodynormalNumber"/>
              <w:keepNext/>
            </w:pPr>
            <w:r>
              <w:rPr>
                <w:b/>
                <w:bCs/>
              </w:rPr>
              <w:t>58</w:t>
            </w:r>
          </w:p>
        </w:tc>
        <w:tc>
          <w:tcPr>
            <w:tcW w:w="119" w:type="dxa"/>
            <w:tcBorders>
              <w:bottom w:val="single" w:sz="16" w:space="0" w:color="991D85"/>
            </w:tcBorders>
            <w:noWrap/>
            <w:vAlign w:val="bottom"/>
          </w:tcPr>
          <w:p w14:paraId="58F9A4ED" w14:textId="77777777" w:rsidR="00A81870" w:rsidRDefault="00A81870" w:rsidP="00957225">
            <w:pPr>
              <w:pStyle w:val="TBodynormalNumber"/>
              <w:keepNext/>
            </w:pPr>
            <w:r>
              <w:rPr>
                <w:b/>
                <w:bCs/>
              </w:rPr>
              <w:t> </w:t>
            </w:r>
          </w:p>
        </w:tc>
        <w:tc>
          <w:tcPr>
            <w:tcW w:w="1021" w:type="dxa"/>
            <w:tcBorders>
              <w:top w:val="single" w:sz="4" w:space="0" w:color="000000"/>
              <w:bottom w:val="single" w:sz="16" w:space="0" w:color="991D85"/>
            </w:tcBorders>
            <w:noWrap/>
            <w:vAlign w:val="bottom"/>
          </w:tcPr>
          <w:p w14:paraId="7C38F00F" w14:textId="77777777" w:rsidR="00A81870" w:rsidRDefault="00A81870" w:rsidP="00957225">
            <w:pPr>
              <w:pStyle w:val="TBodynormalNumber"/>
              <w:keepNext/>
            </w:pPr>
            <w:r>
              <w:rPr>
                <w:b/>
                <w:bCs/>
              </w:rPr>
              <w:t>341</w:t>
            </w:r>
          </w:p>
        </w:tc>
        <w:tc>
          <w:tcPr>
            <w:tcW w:w="119" w:type="dxa"/>
            <w:tcBorders>
              <w:bottom w:val="single" w:sz="16" w:space="0" w:color="991D85"/>
            </w:tcBorders>
            <w:noWrap/>
            <w:vAlign w:val="bottom"/>
          </w:tcPr>
          <w:p w14:paraId="2F5E7918" w14:textId="77777777" w:rsidR="00A81870" w:rsidRDefault="00A81870" w:rsidP="00957225">
            <w:pPr>
              <w:pStyle w:val="TBodynormalNumber"/>
              <w:keepNext/>
            </w:pPr>
            <w:r>
              <w:rPr>
                <w:b/>
                <w:bCs/>
              </w:rPr>
              <w:t> </w:t>
            </w:r>
          </w:p>
        </w:tc>
        <w:tc>
          <w:tcPr>
            <w:tcW w:w="1021" w:type="dxa"/>
            <w:tcBorders>
              <w:top w:val="single" w:sz="4" w:space="0" w:color="000000"/>
              <w:bottom w:val="single" w:sz="16" w:space="0" w:color="991D85"/>
            </w:tcBorders>
            <w:shd w:val="clear" w:color="000000" w:fill="DAD5C9"/>
            <w:noWrap/>
            <w:vAlign w:val="bottom"/>
          </w:tcPr>
          <w:p w14:paraId="56585B1E" w14:textId="77777777" w:rsidR="00A81870" w:rsidRDefault="00A81870" w:rsidP="00957225">
            <w:pPr>
              <w:pStyle w:val="TBodynormalNumber"/>
              <w:keepNext/>
            </w:pPr>
            <w:r>
              <w:rPr>
                <w:b/>
                <w:bCs/>
              </w:rPr>
              <w:t>493</w:t>
            </w:r>
          </w:p>
        </w:tc>
        <w:tc>
          <w:tcPr>
            <w:tcW w:w="119" w:type="dxa"/>
            <w:tcBorders>
              <w:bottom w:val="single" w:sz="16" w:space="0" w:color="991D85"/>
            </w:tcBorders>
            <w:noWrap/>
            <w:vAlign w:val="bottom"/>
          </w:tcPr>
          <w:p w14:paraId="16AC8018" w14:textId="77777777" w:rsidR="00A81870" w:rsidRDefault="00A81870" w:rsidP="00957225">
            <w:pPr>
              <w:pStyle w:val="TBodynormalNumber"/>
              <w:keepNext/>
            </w:pPr>
            <w:r>
              <w:rPr>
                <w:b/>
                <w:bCs/>
              </w:rPr>
              <w:t> </w:t>
            </w:r>
          </w:p>
        </w:tc>
        <w:tc>
          <w:tcPr>
            <w:tcW w:w="1021" w:type="dxa"/>
            <w:tcBorders>
              <w:top w:val="single" w:sz="4" w:space="0" w:color="000000"/>
              <w:bottom w:val="single" w:sz="16" w:space="0" w:color="991D85"/>
            </w:tcBorders>
            <w:noWrap/>
            <w:vAlign w:val="bottom"/>
          </w:tcPr>
          <w:p w14:paraId="72BAC54C" w14:textId="77777777" w:rsidR="00A81870" w:rsidRDefault="00A81870" w:rsidP="00957225">
            <w:pPr>
              <w:pStyle w:val="TBodynormalNumber"/>
              <w:keepNext/>
            </w:pPr>
            <w:r>
              <w:rPr>
                <w:b/>
                <w:bCs/>
              </w:rPr>
              <w:t>45</w:t>
            </w:r>
          </w:p>
        </w:tc>
      </w:tr>
    </w:tbl>
    <w:p w14:paraId="053FBC58" w14:textId="77777777" w:rsidR="00A81870" w:rsidRDefault="00A81870" w:rsidP="00A81870">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A81870" w14:paraId="3CFCA659" w14:textId="77777777" w:rsidTr="00957225">
        <w:tc>
          <w:tcPr>
            <w:tcW w:w="9754" w:type="dxa"/>
            <w:gridSpan w:val="13"/>
            <w:noWrap/>
            <w:vAlign w:val="bottom"/>
          </w:tcPr>
          <w:p w14:paraId="792935AA" w14:textId="77777777" w:rsidR="00A81870" w:rsidRDefault="00A81870" w:rsidP="00957225">
            <w:pPr>
              <w:pStyle w:val="TTitleText"/>
            </w:pPr>
            <w:bookmarkStart w:id="17" w:name="SNEID_3c00ec5e54e644f88a0a198056030d76"/>
            <w:r>
              <w:lastRenderedPageBreak/>
              <w:t>Division performance – 2nd quarter</w:t>
            </w:r>
          </w:p>
        </w:tc>
      </w:tr>
      <w:tr w:rsidR="00A81870" w14:paraId="03239162" w14:textId="77777777" w:rsidTr="00957225">
        <w:tc>
          <w:tcPr>
            <w:tcW w:w="2914" w:type="dxa"/>
            <w:tcBorders>
              <w:top w:val="single" w:sz="8" w:space="0" w:color="000000"/>
            </w:tcBorders>
            <w:noWrap/>
            <w:vAlign w:val="bottom"/>
          </w:tcPr>
          <w:p w14:paraId="438668BE" w14:textId="77777777" w:rsidR="00A81870" w:rsidRDefault="00A81870" w:rsidP="00957225">
            <w:pPr>
              <w:pStyle w:val="TDummy"/>
              <w:keepNext/>
            </w:pPr>
          </w:p>
        </w:tc>
        <w:tc>
          <w:tcPr>
            <w:tcW w:w="119" w:type="dxa"/>
            <w:tcBorders>
              <w:top w:val="single" w:sz="8" w:space="0" w:color="000000"/>
            </w:tcBorders>
            <w:noWrap/>
            <w:vAlign w:val="bottom"/>
          </w:tcPr>
          <w:p w14:paraId="166D14A5" w14:textId="77777777" w:rsidR="00A81870" w:rsidRDefault="00A81870" w:rsidP="00957225">
            <w:pPr>
              <w:pStyle w:val="TDummy"/>
              <w:keepNext/>
            </w:pPr>
          </w:p>
        </w:tc>
        <w:tc>
          <w:tcPr>
            <w:tcW w:w="1021" w:type="dxa"/>
            <w:tcBorders>
              <w:top w:val="single" w:sz="8" w:space="0" w:color="000000"/>
            </w:tcBorders>
            <w:noWrap/>
            <w:vAlign w:val="bottom"/>
          </w:tcPr>
          <w:p w14:paraId="71BDCCB0" w14:textId="77777777" w:rsidR="00A81870" w:rsidRDefault="00A81870" w:rsidP="00957225">
            <w:pPr>
              <w:pStyle w:val="TDummy"/>
              <w:keepNext/>
            </w:pPr>
          </w:p>
        </w:tc>
        <w:tc>
          <w:tcPr>
            <w:tcW w:w="119" w:type="dxa"/>
            <w:tcBorders>
              <w:top w:val="single" w:sz="8" w:space="0" w:color="000000"/>
            </w:tcBorders>
            <w:noWrap/>
            <w:vAlign w:val="bottom"/>
          </w:tcPr>
          <w:p w14:paraId="19627879" w14:textId="77777777" w:rsidR="00A81870" w:rsidRDefault="00A81870" w:rsidP="00957225">
            <w:pPr>
              <w:pStyle w:val="TDummy"/>
              <w:keepNext/>
            </w:pPr>
          </w:p>
        </w:tc>
        <w:tc>
          <w:tcPr>
            <w:tcW w:w="1021" w:type="dxa"/>
            <w:tcBorders>
              <w:top w:val="single" w:sz="8" w:space="0" w:color="000000"/>
            </w:tcBorders>
            <w:noWrap/>
            <w:vAlign w:val="bottom"/>
          </w:tcPr>
          <w:p w14:paraId="71B4693C" w14:textId="77777777" w:rsidR="00A81870" w:rsidRDefault="00A81870" w:rsidP="00957225">
            <w:pPr>
              <w:pStyle w:val="TDummy"/>
              <w:keepNext/>
            </w:pPr>
          </w:p>
        </w:tc>
        <w:tc>
          <w:tcPr>
            <w:tcW w:w="119" w:type="dxa"/>
            <w:tcBorders>
              <w:top w:val="single" w:sz="8" w:space="0" w:color="000000"/>
            </w:tcBorders>
            <w:noWrap/>
            <w:vAlign w:val="bottom"/>
          </w:tcPr>
          <w:p w14:paraId="3136143D" w14:textId="77777777" w:rsidR="00A81870" w:rsidRDefault="00A81870" w:rsidP="00957225">
            <w:pPr>
              <w:pStyle w:val="TDummy"/>
              <w:keepNext/>
            </w:pPr>
          </w:p>
        </w:tc>
        <w:tc>
          <w:tcPr>
            <w:tcW w:w="1021" w:type="dxa"/>
            <w:tcBorders>
              <w:top w:val="single" w:sz="8" w:space="0" w:color="000000"/>
            </w:tcBorders>
            <w:noWrap/>
            <w:vAlign w:val="bottom"/>
          </w:tcPr>
          <w:p w14:paraId="02B3424E" w14:textId="77777777" w:rsidR="00A81870" w:rsidRDefault="00A81870" w:rsidP="00957225">
            <w:pPr>
              <w:pStyle w:val="TDummy"/>
              <w:keepNext/>
            </w:pPr>
          </w:p>
        </w:tc>
        <w:tc>
          <w:tcPr>
            <w:tcW w:w="119" w:type="dxa"/>
            <w:tcBorders>
              <w:top w:val="single" w:sz="8" w:space="0" w:color="000000"/>
            </w:tcBorders>
            <w:noWrap/>
            <w:vAlign w:val="bottom"/>
          </w:tcPr>
          <w:p w14:paraId="32034B28" w14:textId="77777777" w:rsidR="00A81870" w:rsidRDefault="00A81870" w:rsidP="00957225">
            <w:pPr>
              <w:pStyle w:val="TDummy"/>
              <w:keepNext/>
            </w:pPr>
          </w:p>
        </w:tc>
        <w:tc>
          <w:tcPr>
            <w:tcW w:w="1021" w:type="dxa"/>
            <w:tcBorders>
              <w:top w:val="single" w:sz="8" w:space="0" w:color="000000"/>
            </w:tcBorders>
            <w:noWrap/>
            <w:vAlign w:val="bottom"/>
          </w:tcPr>
          <w:p w14:paraId="43670670" w14:textId="77777777" w:rsidR="00A81870" w:rsidRDefault="00A81870" w:rsidP="00957225">
            <w:pPr>
              <w:pStyle w:val="TDummy"/>
              <w:keepNext/>
            </w:pPr>
          </w:p>
        </w:tc>
        <w:tc>
          <w:tcPr>
            <w:tcW w:w="119" w:type="dxa"/>
            <w:tcBorders>
              <w:top w:val="single" w:sz="8" w:space="0" w:color="000000"/>
            </w:tcBorders>
            <w:noWrap/>
            <w:vAlign w:val="bottom"/>
          </w:tcPr>
          <w:p w14:paraId="626EDD6A" w14:textId="77777777" w:rsidR="00A81870" w:rsidRDefault="00A81870" w:rsidP="00957225">
            <w:pPr>
              <w:pStyle w:val="TDummy"/>
              <w:keepNext/>
            </w:pPr>
          </w:p>
        </w:tc>
        <w:tc>
          <w:tcPr>
            <w:tcW w:w="1021" w:type="dxa"/>
            <w:tcBorders>
              <w:top w:val="single" w:sz="8" w:space="0" w:color="000000"/>
            </w:tcBorders>
            <w:noWrap/>
            <w:vAlign w:val="bottom"/>
          </w:tcPr>
          <w:p w14:paraId="52310678" w14:textId="77777777" w:rsidR="00A81870" w:rsidRDefault="00A81870" w:rsidP="00957225">
            <w:pPr>
              <w:pStyle w:val="TDummy"/>
              <w:keepNext/>
            </w:pPr>
          </w:p>
        </w:tc>
        <w:tc>
          <w:tcPr>
            <w:tcW w:w="119" w:type="dxa"/>
            <w:tcBorders>
              <w:top w:val="single" w:sz="8" w:space="0" w:color="000000"/>
            </w:tcBorders>
            <w:noWrap/>
            <w:vAlign w:val="bottom"/>
          </w:tcPr>
          <w:p w14:paraId="3DD21710" w14:textId="77777777" w:rsidR="00A81870" w:rsidRDefault="00A81870" w:rsidP="00957225">
            <w:pPr>
              <w:pStyle w:val="TDummy"/>
              <w:keepNext/>
            </w:pPr>
          </w:p>
        </w:tc>
        <w:tc>
          <w:tcPr>
            <w:tcW w:w="1021" w:type="dxa"/>
            <w:tcBorders>
              <w:top w:val="single" w:sz="8" w:space="0" w:color="000000"/>
            </w:tcBorders>
            <w:noWrap/>
            <w:vAlign w:val="bottom"/>
          </w:tcPr>
          <w:p w14:paraId="3FCBA91D" w14:textId="77777777" w:rsidR="00A81870" w:rsidRDefault="00A81870" w:rsidP="00957225">
            <w:pPr>
              <w:pStyle w:val="TDummy"/>
              <w:keepNext/>
            </w:pPr>
          </w:p>
        </w:tc>
      </w:tr>
      <w:tr w:rsidR="00A81870" w14:paraId="7CB84A89" w14:textId="77777777" w:rsidTr="00957225">
        <w:tc>
          <w:tcPr>
            <w:tcW w:w="2914" w:type="dxa"/>
            <w:shd w:val="clear" w:color="000000" w:fill="FFFFFF"/>
            <w:noWrap/>
            <w:vAlign w:val="bottom"/>
          </w:tcPr>
          <w:p w14:paraId="068D19E6" w14:textId="77777777" w:rsidR="00A81870" w:rsidRDefault="00A81870" w:rsidP="00957225">
            <w:pPr>
              <w:pStyle w:val="THeadfirstNumber"/>
            </w:pPr>
            <w:bookmarkStart w:id="18" w:name="RANGE!B25:N25"/>
            <w:bookmarkStart w:id="19" w:name="RANGE!B25"/>
            <w:bookmarkEnd w:id="18"/>
            <w:bookmarkEnd w:id="19"/>
          </w:p>
        </w:tc>
        <w:tc>
          <w:tcPr>
            <w:tcW w:w="119" w:type="dxa"/>
            <w:noWrap/>
            <w:vAlign w:val="bottom"/>
          </w:tcPr>
          <w:p w14:paraId="6E272FFF" w14:textId="77777777" w:rsidR="00A81870" w:rsidRDefault="00A81870" w:rsidP="00957225">
            <w:pPr>
              <w:pStyle w:val="THeadfirstNumber"/>
            </w:pPr>
          </w:p>
        </w:tc>
        <w:tc>
          <w:tcPr>
            <w:tcW w:w="3301" w:type="dxa"/>
            <w:gridSpan w:val="5"/>
            <w:tcBorders>
              <w:bottom w:val="single" w:sz="4" w:space="0" w:color="A59C94"/>
            </w:tcBorders>
            <w:shd w:val="clear" w:color="000000" w:fill="FFFFFF"/>
            <w:vAlign w:val="bottom"/>
          </w:tcPr>
          <w:p w14:paraId="7069373F" w14:textId="77777777" w:rsidR="00A81870" w:rsidRDefault="00A81870" w:rsidP="00957225">
            <w:pPr>
              <w:pStyle w:val="THeadfirstNumber"/>
            </w:pPr>
            <w:r>
              <w:t>Sales</w:t>
            </w:r>
          </w:p>
        </w:tc>
        <w:tc>
          <w:tcPr>
            <w:tcW w:w="119" w:type="dxa"/>
            <w:vAlign w:val="bottom"/>
          </w:tcPr>
          <w:p w14:paraId="0F7952EB" w14:textId="77777777" w:rsidR="00A81870" w:rsidRDefault="00A81870" w:rsidP="00957225">
            <w:pPr>
              <w:pStyle w:val="THeadfirstNumber"/>
            </w:pPr>
          </w:p>
        </w:tc>
        <w:tc>
          <w:tcPr>
            <w:tcW w:w="3301" w:type="dxa"/>
            <w:gridSpan w:val="5"/>
            <w:tcBorders>
              <w:bottom w:val="single" w:sz="4" w:space="0" w:color="A59C94"/>
            </w:tcBorders>
            <w:shd w:val="clear" w:color="000000" w:fill="FFFFFF"/>
            <w:vAlign w:val="bottom"/>
          </w:tcPr>
          <w:p w14:paraId="3C6EAB8E" w14:textId="77777777" w:rsidR="00A81870" w:rsidRDefault="00A81870" w:rsidP="00957225">
            <w:pPr>
              <w:pStyle w:val="THeadfirstNumber"/>
            </w:pPr>
            <w:proofErr w:type="spellStart"/>
            <w:r>
              <w:t>Adjusted</w:t>
            </w:r>
            <w:proofErr w:type="spellEnd"/>
            <w:r>
              <w:t xml:space="preserve"> EBITDA</w:t>
            </w:r>
          </w:p>
        </w:tc>
      </w:tr>
      <w:tr w:rsidR="00A81870" w14:paraId="702D8AEE" w14:textId="77777777" w:rsidTr="00957225">
        <w:tc>
          <w:tcPr>
            <w:tcW w:w="2914" w:type="dxa"/>
            <w:tcBorders>
              <w:bottom w:val="single" w:sz="4" w:space="0" w:color="000000"/>
            </w:tcBorders>
            <w:shd w:val="clear" w:color="000000" w:fill="FFFFFF"/>
            <w:noWrap/>
            <w:vAlign w:val="bottom"/>
          </w:tcPr>
          <w:p w14:paraId="451075CF" w14:textId="77777777" w:rsidR="00A81870" w:rsidRDefault="00A81870" w:rsidP="00957225">
            <w:pPr>
              <w:pStyle w:val="THeadlastText"/>
            </w:pPr>
            <w:bookmarkStart w:id="20" w:name="RANGE!B26:N26"/>
            <w:bookmarkEnd w:id="20"/>
            <w:r>
              <w:t xml:space="preserve">in € </w:t>
            </w:r>
            <w:proofErr w:type="spellStart"/>
            <w:r>
              <w:t>million</w:t>
            </w:r>
            <w:proofErr w:type="spellEnd"/>
          </w:p>
        </w:tc>
        <w:tc>
          <w:tcPr>
            <w:tcW w:w="119" w:type="dxa"/>
            <w:noWrap/>
            <w:vAlign w:val="bottom"/>
          </w:tcPr>
          <w:p w14:paraId="238472C6"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2B33D0FA" w14:textId="77777777" w:rsidR="00A81870" w:rsidRDefault="00A81870" w:rsidP="00957225">
            <w:pPr>
              <w:pStyle w:val="THeadlastNumber"/>
            </w:pPr>
            <w:r>
              <w:t>2020</w:t>
            </w:r>
          </w:p>
        </w:tc>
        <w:tc>
          <w:tcPr>
            <w:tcW w:w="119" w:type="dxa"/>
            <w:vAlign w:val="bottom"/>
          </w:tcPr>
          <w:p w14:paraId="7DE4BF63"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4B8F3E7D" w14:textId="77777777" w:rsidR="00A81870" w:rsidRDefault="00A81870" w:rsidP="00957225">
            <w:pPr>
              <w:pStyle w:val="THeadlastNumberbold"/>
            </w:pPr>
            <w:bookmarkStart w:id="21" w:name="RANGE!F26:F33"/>
            <w:bookmarkEnd w:id="21"/>
            <w:r>
              <w:t>2021</w:t>
            </w:r>
          </w:p>
        </w:tc>
        <w:tc>
          <w:tcPr>
            <w:tcW w:w="119" w:type="dxa"/>
            <w:vAlign w:val="bottom"/>
          </w:tcPr>
          <w:p w14:paraId="515D0F43"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7A1F4C9C" w14:textId="77777777" w:rsidR="00A81870" w:rsidRDefault="00A81870" w:rsidP="00957225">
            <w:pPr>
              <w:pStyle w:val="THeaddifferenceNumber"/>
              <w:keepNext/>
            </w:pPr>
            <w:bookmarkStart w:id="22" w:name="RANGE!H26:H33"/>
            <w:bookmarkEnd w:id="22"/>
            <w:r>
              <w:t>Change in %</w:t>
            </w:r>
          </w:p>
        </w:tc>
        <w:tc>
          <w:tcPr>
            <w:tcW w:w="119" w:type="dxa"/>
            <w:vAlign w:val="bottom"/>
          </w:tcPr>
          <w:p w14:paraId="1DCB039F"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1056A37C" w14:textId="77777777" w:rsidR="00A81870" w:rsidRDefault="00A81870" w:rsidP="00957225">
            <w:pPr>
              <w:pStyle w:val="THeadlastNumber"/>
            </w:pPr>
            <w:r>
              <w:t>2020</w:t>
            </w:r>
          </w:p>
        </w:tc>
        <w:tc>
          <w:tcPr>
            <w:tcW w:w="119" w:type="dxa"/>
            <w:vAlign w:val="bottom"/>
          </w:tcPr>
          <w:p w14:paraId="66CA92C7"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046DC81E" w14:textId="77777777" w:rsidR="00A81870" w:rsidRDefault="00A81870" w:rsidP="00957225">
            <w:pPr>
              <w:pStyle w:val="THeadlastNumberbold"/>
            </w:pPr>
            <w:bookmarkStart w:id="23" w:name="RANGE!L26:L33"/>
            <w:bookmarkEnd w:id="23"/>
            <w:r>
              <w:t>2021</w:t>
            </w:r>
          </w:p>
        </w:tc>
        <w:tc>
          <w:tcPr>
            <w:tcW w:w="119" w:type="dxa"/>
            <w:vAlign w:val="bottom"/>
          </w:tcPr>
          <w:p w14:paraId="02A2E8FD"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3ED0ED54" w14:textId="77777777" w:rsidR="00A81870" w:rsidRDefault="00A81870" w:rsidP="00957225">
            <w:pPr>
              <w:pStyle w:val="THeaddifferenceNumber"/>
              <w:keepNext/>
            </w:pPr>
            <w:bookmarkStart w:id="24" w:name="RANGE!N26:N33"/>
            <w:bookmarkEnd w:id="24"/>
            <w:r>
              <w:t>Change in %</w:t>
            </w:r>
          </w:p>
        </w:tc>
      </w:tr>
      <w:tr w:rsidR="00A81870" w14:paraId="475D69A7" w14:textId="77777777" w:rsidTr="00957225">
        <w:tc>
          <w:tcPr>
            <w:tcW w:w="2914" w:type="dxa"/>
            <w:tcBorders>
              <w:top w:val="single" w:sz="4" w:space="0" w:color="000000"/>
              <w:bottom w:val="single" w:sz="4" w:space="0" w:color="A59C94"/>
            </w:tcBorders>
            <w:noWrap/>
            <w:vAlign w:val="bottom"/>
          </w:tcPr>
          <w:p w14:paraId="1E37AE05" w14:textId="77777777" w:rsidR="00A81870" w:rsidRDefault="00A81870" w:rsidP="00957225">
            <w:pPr>
              <w:pStyle w:val="TBodynormalText"/>
            </w:pPr>
            <w:r>
              <w:t>Specialty Additives</w:t>
            </w:r>
          </w:p>
        </w:tc>
        <w:tc>
          <w:tcPr>
            <w:tcW w:w="119" w:type="dxa"/>
            <w:noWrap/>
            <w:vAlign w:val="bottom"/>
          </w:tcPr>
          <w:p w14:paraId="591BBC79"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181A52D0" w14:textId="77777777" w:rsidR="00A81870" w:rsidRDefault="00A81870" w:rsidP="00957225">
            <w:pPr>
              <w:pStyle w:val="TBodynormalNumber"/>
              <w:keepNext/>
            </w:pPr>
            <w:r>
              <w:t>747</w:t>
            </w:r>
          </w:p>
        </w:tc>
        <w:tc>
          <w:tcPr>
            <w:tcW w:w="119" w:type="dxa"/>
            <w:noWrap/>
            <w:vAlign w:val="bottom"/>
          </w:tcPr>
          <w:p w14:paraId="44E7BBC5" w14:textId="77777777" w:rsidR="00A81870" w:rsidRDefault="00A81870"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091B55FA" w14:textId="77777777" w:rsidR="00A81870" w:rsidRDefault="00A81870" w:rsidP="00957225">
            <w:pPr>
              <w:pStyle w:val="TBodynormalNumber"/>
              <w:keepNext/>
            </w:pPr>
            <w:r>
              <w:t>922</w:t>
            </w:r>
          </w:p>
        </w:tc>
        <w:tc>
          <w:tcPr>
            <w:tcW w:w="119" w:type="dxa"/>
            <w:noWrap/>
            <w:vAlign w:val="bottom"/>
          </w:tcPr>
          <w:p w14:paraId="78BE1063"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2E87AB7D" w14:textId="77777777" w:rsidR="00A81870" w:rsidRDefault="00A81870" w:rsidP="00957225">
            <w:pPr>
              <w:pStyle w:val="TBodynormalNumber"/>
              <w:keepNext/>
            </w:pPr>
            <w:r>
              <w:t>23</w:t>
            </w:r>
          </w:p>
        </w:tc>
        <w:tc>
          <w:tcPr>
            <w:tcW w:w="119" w:type="dxa"/>
            <w:noWrap/>
            <w:vAlign w:val="bottom"/>
          </w:tcPr>
          <w:p w14:paraId="25CAA843"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6AA5E19D" w14:textId="77777777" w:rsidR="00A81870" w:rsidRDefault="00A81870" w:rsidP="00957225">
            <w:pPr>
              <w:pStyle w:val="TBodynormalNumber"/>
              <w:keepNext/>
            </w:pPr>
            <w:r>
              <w:t>202</w:t>
            </w:r>
          </w:p>
        </w:tc>
        <w:tc>
          <w:tcPr>
            <w:tcW w:w="119" w:type="dxa"/>
            <w:noWrap/>
            <w:vAlign w:val="bottom"/>
          </w:tcPr>
          <w:p w14:paraId="78CD249D" w14:textId="77777777" w:rsidR="00A81870" w:rsidRDefault="00A81870"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7102A068" w14:textId="77777777" w:rsidR="00A81870" w:rsidRDefault="00A81870" w:rsidP="00957225">
            <w:pPr>
              <w:pStyle w:val="TBodynormalNumber"/>
              <w:keepNext/>
            </w:pPr>
            <w:r>
              <w:t>242</w:t>
            </w:r>
          </w:p>
        </w:tc>
        <w:tc>
          <w:tcPr>
            <w:tcW w:w="119" w:type="dxa"/>
            <w:noWrap/>
            <w:vAlign w:val="bottom"/>
          </w:tcPr>
          <w:p w14:paraId="0CD09BE9"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39FA034D" w14:textId="77777777" w:rsidR="00A81870" w:rsidRDefault="00A81870" w:rsidP="00957225">
            <w:pPr>
              <w:pStyle w:val="TBodynormalNumber"/>
              <w:keepNext/>
            </w:pPr>
            <w:r>
              <w:t>20</w:t>
            </w:r>
          </w:p>
        </w:tc>
      </w:tr>
      <w:tr w:rsidR="00A81870" w14:paraId="310FE0BF" w14:textId="77777777" w:rsidTr="00957225">
        <w:tc>
          <w:tcPr>
            <w:tcW w:w="2914" w:type="dxa"/>
            <w:tcBorders>
              <w:top w:val="single" w:sz="4" w:space="0" w:color="A59C94"/>
              <w:bottom w:val="single" w:sz="4" w:space="0" w:color="A59C94"/>
            </w:tcBorders>
            <w:noWrap/>
            <w:vAlign w:val="bottom"/>
          </w:tcPr>
          <w:p w14:paraId="65AB0CD9" w14:textId="77777777" w:rsidR="00A81870" w:rsidRDefault="00A81870" w:rsidP="00957225">
            <w:pPr>
              <w:pStyle w:val="TBodynormalText"/>
            </w:pPr>
            <w:r>
              <w:t>Nutrition &amp; Care</w:t>
            </w:r>
          </w:p>
        </w:tc>
        <w:tc>
          <w:tcPr>
            <w:tcW w:w="119" w:type="dxa"/>
            <w:noWrap/>
            <w:vAlign w:val="bottom"/>
          </w:tcPr>
          <w:p w14:paraId="6E18D139"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91F633B" w14:textId="77777777" w:rsidR="00A81870" w:rsidRDefault="00A81870" w:rsidP="00957225">
            <w:pPr>
              <w:pStyle w:val="TBodynormalNumber"/>
              <w:keepNext/>
            </w:pPr>
            <w:r>
              <w:t>742</w:t>
            </w:r>
          </w:p>
        </w:tc>
        <w:tc>
          <w:tcPr>
            <w:tcW w:w="119" w:type="dxa"/>
            <w:noWrap/>
            <w:vAlign w:val="bottom"/>
          </w:tcPr>
          <w:p w14:paraId="542E9B16"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B006DDE" w14:textId="77777777" w:rsidR="00A81870" w:rsidRDefault="00A81870" w:rsidP="00957225">
            <w:pPr>
              <w:pStyle w:val="TBodynormalNumber"/>
              <w:keepNext/>
            </w:pPr>
            <w:r>
              <w:t>838</w:t>
            </w:r>
          </w:p>
        </w:tc>
        <w:tc>
          <w:tcPr>
            <w:tcW w:w="119" w:type="dxa"/>
            <w:noWrap/>
            <w:vAlign w:val="bottom"/>
          </w:tcPr>
          <w:p w14:paraId="7A838D13"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3C81148" w14:textId="77777777" w:rsidR="00A81870" w:rsidRDefault="00A81870" w:rsidP="00957225">
            <w:pPr>
              <w:pStyle w:val="TBodynormalNumber"/>
              <w:keepNext/>
            </w:pPr>
            <w:r>
              <w:t>13</w:t>
            </w:r>
          </w:p>
        </w:tc>
        <w:tc>
          <w:tcPr>
            <w:tcW w:w="119" w:type="dxa"/>
            <w:noWrap/>
            <w:vAlign w:val="bottom"/>
          </w:tcPr>
          <w:p w14:paraId="4D4BC8E7"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6F672646" w14:textId="77777777" w:rsidR="00A81870" w:rsidRDefault="00A81870" w:rsidP="00957225">
            <w:pPr>
              <w:pStyle w:val="TBodynormalNumber"/>
              <w:keepNext/>
            </w:pPr>
            <w:r>
              <w:t>168</w:t>
            </w:r>
          </w:p>
        </w:tc>
        <w:tc>
          <w:tcPr>
            <w:tcW w:w="119" w:type="dxa"/>
            <w:noWrap/>
            <w:vAlign w:val="bottom"/>
          </w:tcPr>
          <w:p w14:paraId="63343BE5"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5EAB2C1" w14:textId="77777777" w:rsidR="00A81870" w:rsidRDefault="00A81870" w:rsidP="00957225">
            <w:pPr>
              <w:pStyle w:val="TBodynormalNumber"/>
              <w:keepNext/>
            </w:pPr>
            <w:r>
              <w:t>183</w:t>
            </w:r>
          </w:p>
        </w:tc>
        <w:tc>
          <w:tcPr>
            <w:tcW w:w="119" w:type="dxa"/>
            <w:noWrap/>
            <w:vAlign w:val="bottom"/>
          </w:tcPr>
          <w:p w14:paraId="77D88BE6"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97BE513" w14:textId="77777777" w:rsidR="00A81870" w:rsidRDefault="00A81870" w:rsidP="00957225">
            <w:pPr>
              <w:pStyle w:val="TBodynormalNumber"/>
              <w:keepNext/>
            </w:pPr>
            <w:r>
              <w:t>9</w:t>
            </w:r>
          </w:p>
        </w:tc>
      </w:tr>
      <w:tr w:rsidR="00A81870" w14:paraId="071E445A" w14:textId="77777777" w:rsidTr="00957225">
        <w:tc>
          <w:tcPr>
            <w:tcW w:w="2914" w:type="dxa"/>
            <w:tcBorders>
              <w:top w:val="single" w:sz="4" w:space="0" w:color="A59C94"/>
              <w:bottom w:val="single" w:sz="4" w:space="0" w:color="A59C94"/>
            </w:tcBorders>
            <w:noWrap/>
            <w:vAlign w:val="bottom"/>
          </w:tcPr>
          <w:p w14:paraId="492DC6DE" w14:textId="77777777" w:rsidR="00A81870" w:rsidRDefault="00A81870" w:rsidP="00957225">
            <w:pPr>
              <w:pStyle w:val="TBodynormalText"/>
            </w:pPr>
            <w:r>
              <w:t>Smart Materials</w:t>
            </w:r>
          </w:p>
        </w:tc>
        <w:tc>
          <w:tcPr>
            <w:tcW w:w="119" w:type="dxa"/>
            <w:noWrap/>
            <w:vAlign w:val="bottom"/>
          </w:tcPr>
          <w:p w14:paraId="7C33176C"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F169633" w14:textId="77777777" w:rsidR="00A81870" w:rsidRDefault="00A81870" w:rsidP="00957225">
            <w:pPr>
              <w:pStyle w:val="TBodynormalNumber"/>
              <w:keepNext/>
            </w:pPr>
            <w:r>
              <w:t>722</w:t>
            </w:r>
          </w:p>
        </w:tc>
        <w:tc>
          <w:tcPr>
            <w:tcW w:w="119" w:type="dxa"/>
            <w:noWrap/>
            <w:vAlign w:val="bottom"/>
          </w:tcPr>
          <w:p w14:paraId="308D080E"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7ADFA6" w14:textId="77777777" w:rsidR="00A81870" w:rsidRDefault="00A81870" w:rsidP="00957225">
            <w:pPr>
              <w:pStyle w:val="TBodynormalNumber"/>
              <w:keepNext/>
            </w:pPr>
            <w:r>
              <w:t>975</w:t>
            </w:r>
          </w:p>
        </w:tc>
        <w:tc>
          <w:tcPr>
            <w:tcW w:w="119" w:type="dxa"/>
            <w:noWrap/>
            <w:vAlign w:val="bottom"/>
          </w:tcPr>
          <w:p w14:paraId="5DE29F9F"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A127911" w14:textId="77777777" w:rsidR="00A81870" w:rsidRDefault="00A81870" w:rsidP="00957225">
            <w:pPr>
              <w:pStyle w:val="TBodynormalNumber"/>
              <w:keepNext/>
            </w:pPr>
            <w:r>
              <w:t>35</w:t>
            </w:r>
          </w:p>
        </w:tc>
        <w:tc>
          <w:tcPr>
            <w:tcW w:w="119" w:type="dxa"/>
            <w:noWrap/>
            <w:vAlign w:val="bottom"/>
          </w:tcPr>
          <w:p w14:paraId="11BB6702"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D6B656E" w14:textId="77777777" w:rsidR="00A81870" w:rsidRDefault="00A81870" w:rsidP="00957225">
            <w:pPr>
              <w:pStyle w:val="TBodynormalNumber"/>
              <w:keepNext/>
            </w:pPr>
            <w:r>
              <w:t>102</w:t>
            </w:r>
          </w:p>
        </w:tc>
        <w:tc>
          <w:tcPr>
            <w:tcW w:w="119" w:type="dxa"/>
            <w:noWrap/>
            <w:vAlign w:val="bottom"/>
          </w:tcPr>
          <w:p w14:paraId="7C1F2584"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1EF431F" w14:textId="77777777" w:rsidR="00A81870" w:rsidRDefault="00A81870" w:rsidP="00957225">
            <w:pPr>
              <w:pStyle w:val="TBodynormalNumber"/>
              <w:keepNext/>
            </w:pPr>
            <w:r>
              <w:t>176</w:t>
            </w:r>
          </w:p>
        </w:tc>
        <w:tc>
          <w:tcPr>
            <w:tcW w:w="119" w:type="dxa"/>
            <w:noWrap/>
            <w:vAlign w:val="bottom"/>
          </w:tcPr>
          <w:p w14:paraId="62EED400"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7F47F8BC" w14:textId="77777777" w:rsidR="00A81870" w:rsidRDefault="00A81870" w:rsidP="00957225">
            <w:pPr>
              <w:pStyle w:val="TBodynormalNumber"/>
              <w:keepNext/>
            </w:pPr>
            <w:r>
              <w:t>73</w:t>
            </w:r>
          </w:p>
        </w:tc>
      </w:tr>
      <w:tr w:rsidR="00A81870" w14:paraId="29AF5F1B" w14:textId="77777777" w:rsidTr="00957225">
        <w:tc>
          <w:tcPr>
            <w:tcW w:w="2914" w:type="dxa"/>
            <w:tcBorders>
              <w:top w:val="single" w:sz="4" w:space="0" w:color="A59C94"/>
              <w:bottom w:val="single" w:sz="4" w:space="0" w:color="A59C94"/>
            </w:tcBorders>
            <w:noWrap/>
            <w:vAlign w:val="bottom"/>
          </w:tcPr>
          <w:p w14:paraId="2F30F482" w14:textId="77777777" w:rsidR="00A81870" w:rsidRDefault="00A81870" w:rsidP="00957225">
            <w:pPr>
              <w:pStyle w:val="TBodynormalText"/>
            </w:pPr>
            <w:r>
              <w:t>Performance Materials</w:t>
            </w:r>
          </w:p>
        </w:tc>
        <w:tc>
          <w:tcPr>
            <w:tcW w:w="119" w:type="dxa"/>
            <w:noWrap/>
            <w:vAlign w:val="bottom"/>
          </w:tcPr>
          <w:p w14:paraId="0420E178"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7C765B95" w14:textId="77777777" w:rsidR="00A81870" w:rsidRDefault="00A81870" w:rsidP="00957225">
            <w:pPr>
              <w:pStyle w:val="TBodynormalNumber"/>
              <w:keepNext/>
            </w:pPr>
            <w:r>
              <w:t>437</w:t>
            </w:r>
          </w:p>
        </w:tc>
        <w:tc>
          <w:tcPr>
            <w:tcW w:w="119" w:type="dxa"/>
            <w:noWrap/>
            <w:vAlign w:val="bottom"/>
          </w:tcPr>
          <w:p w14:paraId="63A45CA9"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383B136" w14:textId="77777777" w:rsidR="00A81870" w:rsidRDefault="00A81870" w:rsidP="00957225">
            <w:pPr>
              <w:pStyle w:val="TBodynormalNumber"/>
              <w:keepNext/>
            </w:pPr>
            <w:r>
              <w:t>708</w:t>
            </w:r>
          </w:p>
        </w:tc>
        <w:tc>
          <w:tcPr>
            <w:tcW w:w="119" w:type="dxa"/>
            <w:noWrap/>
            <w:vAlign w:val="bottom"/>
          </w:tcPr>
          <w:p w14:paraId="5E323B15"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81185FF" w14:textId="77777777" w:rsidR="00A81870" w:rsidRDefault="00A81870" w:rsidP="00957225">
            <w:pPr>
              <w:pStyle w:val="TBodynormalNumber"/>
              <w:keepNext/>
            </w:pPr>
            <w:r>
              <w:t>62</w:t>
            </w:r>
          </w:p>
        </w:tc>
        <w:tc>
          <w:tcPr>
            <w:tcW w:w="119" w:type="dxa"/>
            <w:noWrap/>
            <w:vAlign w:val="bottom"/>
          </w:tcPr>
          <w:p w14:paraId="634E5AA8"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FF8C2C3" w14:textId="77777777" w:rsidR="00A81870" w:rsidRDefault="00A81870" w:rsidP="00957225">
            <w:pPr>
              <w:pStyle w:val="TBodynormalNumber"/>
              <w:keepNext/>
            </w:pPr>
            <w:r>
              <w:t>12</w:t>
            </w:r>
          </w:p>
        </w:tc>
        <w:tc>
          <w:tcPr>
            <w:tcW w:w="119" w:type="dxa"/>
            <w:noWrap/>
            <w:vAlign w:val="bottom"/>
          </w:tcPr>
          <w:p w14:paraId="1554839E"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649F087" w14:textId="77777777" w:rsidR="00A81870" w:rsidRDefault="00A81870" w:rsidP="00957225">
            <w:pPr>
              <w:pStyle w:val="TBodynormalNumber"/>
              <w:keepNext/>
            </w:pPr>
            <w:r>
              <w:t>99</w:t>
            </w:r>
          </w:p>
        </w:tc>
        <w:tc>
          <w:tcPr>
            <w:tcW w:w="119" w:type="dxa"/>
            <w:noWrap/>
            <w:vAlign w:val="bottom"/>
          </w:tcPr>
          <w:p w14:paraId="3D9D6AB9"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B140276" w14:textId="77777777" w:rsidR="00A81870" w:rsidRDefault="00A81870" w:rsidP="00957225">
            <w:pPr>
              <w:pStyle w:val="TBodynormalNumber"/>
              <w:keepNext/>
            </w:pPr>
            <w:r>
              <w:t>725</w:t>
            </w:r>
          </w:p>
        </w:tc>
      </w:tr>
      <w:tr w:rsidR="00A81870" w14:paraId="3223E24D" w14:textId="77777777" w:rsidTr="00957225">
        <w:tc>
          <w:tcPr>
            <w:tcW w:w="2914" w:type="dxa"/>
            <w:tcBorders>
              <w:top w:val="single" w:sz="4" w:space="0" w:color="A59C94"/>
              <w:bottom w:val="single" w:sz="4" w:space="0" w:color="A59C94"/>
            </w:tcBorders>
            <w:noWrap/>
            <w:vAlign w:val="bottom"/>
          </w:tcPr>
          <w:p w14:paraId="47E05A69" w14:textId="77777777" w:rsidR="00A81870" w:rsidRDefault="00A81870" w:rsidP="00957225">
            <w:pPr>
              <w:pStyle w:val="TBodynormalText"/>
            </w:pPr>
            <w:r>
              <w:t>Technology &amp; Infrastructure</w:t>
            </w:r>
          </w:p>
        </w:tc>
        <w:tc>
          <w:tcPr>
            <w:tcW w:w="119" w:type="dxa"/>
            <w:noWrap/>
            <w:vAlign w:val="bottom"/>
          </w:tcPr>
          <w:p w14:paraId="04F9528D"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6BE0ADFB" w14:textId="77777777" w:rsidR="00A81870" w:rsidRDefault="00A81870" w:rsidP="00957225">
            <w:pPr>
              <w:pStyle w:val="TBodynormalNumber"/>
              <w:keepNext/>
            </w:pPr>
            <w:r>
              <w:t>161</w:t>
            </w:r>
          </w:p>
        </w:tc>
        <w:tc>
          <w:tcPr>
            <w:tcW w:w="119" w:type="dxa"/>
            <w:noWrap/>
            <w:vAlign w:val="bottom"/>
          </w:tcPr>
          <w:p w14:paraId="257F7052"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504B044" w14:textId="77777777" w:rsidR="00A81870" w:rsidRDefault="00A81870" w:rsidP="00957225">
            <w:pPr>
              <w:pStyle w:val="TBodynormalNumber"/>
              <w:keepNext/>
            </w:pPr>
            <w:r>
              <w:t>179</w:t>
            </w:r>
          </w:p>
        </w:tc>
        <w:tc>
          <w:tcPr>
            <w:tcW w:w="119" w:type="dxa"/>
            <w:noWrap/>
            <w:vAlign w:val="bottom"/>
          </w:tcPr>
          <w:p w14:paraId="3FEAD634"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F2856E4" w14:textId="77777777" w:rsidR="00A81870" w:rsidRDefault="00A81870" w:rsidP="00957225">
            <w:pPr>
              <w:pStyle w:val="TBodynormalNumber"/>
              <w:keepNext/>
            </w:pPr>
            <w:r>
              <w:t>11</w:t>
            </w:r>
          </w:p>
        </w:tc>
        <w:tc>
          <w:tcPr>
            <w:tcW w:w="119" w:type="dxa"/>
            <w:noWrap/>
            <w:vAlign w:val="bottom"/>
          </w:tcPr>
          <w:p w14:paraId="399A460A"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6E7DC5F9" w14:textId="77777777" w:rsidR="00A81870" w:rsidRDefault="00A81870" w:rsidP="00957225">
            <w:pPr>
              <w:pStyle w:val="TBodynormalNumber"/>
              <w:keepNext/>
            </w:pPr>
            <w:r>
              <w:t>39</w:t>
            </w:r>
          </w:p>
        </w:tc>
        <w:tc>
          <w:tcPr>
            <w:tcW w:w="119" w:type="dxa"/>
            <w:noWrap/>
            <w:vAlign w:val="bottom"/>
          </w:tcPr>
          <w:p w14:paraId="6A20C137"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5A13A38" w14:textId="77777777" w:rsidR="00A81870" w:rsidRDefault="00A81870" w:rsidP="00957225">
            <w:pPr>
              <w:pStyle w:val="TBodynormalNumber"/>
              <w:keepNext/>
            </w:pPr>
            <w:r>
              <w:t>26</w:t>
            </w:r>
          </w:p>
        </w:tc>
        <w:tc>
          <w:tcPr>
            <w:tcW w:w="119" w:type="dxa"/>
            <w:noWrap/>
            <w:vAlign w:val="bottom"/>
          </w:tcPr>
          <w:p w14:paraId="154324A7"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BE1D7E2" w14:textId="77777777" w:rsidR="00A81870" w:rsidRDefault="00A81870" w:rsidP="00957225">
            <w:pPr>
              <w:pStyle w:val="TBodynormalNumber"/>
              <w:keepNext/>
            </w:pPr>
            <w:r>
              <w:t>-33</w:t>
            </w:r>
          </w:p>
        </w:tc>
      </w:tr>
      <w:tr w:rsidR="00A81870" w14:paraId="5B3418CF" w14:textId="77777777" w:rsidTr="00957225">
        <w:tc>
          <w:tcPr>
            <w:tcW w:w="2914" w:type="dxa"/>
            <w:tcBorders>
              <w:top w:val="single" w:sz="4" w:space="0" w:color="A59C94"/>
              <w:bottom w:val="single" w:sz="4" w:space="0" w:color="A59C94"/>
            </w:tcBorders>
            <w:noWrap/>
            <w:vAlign w:val="bottom"/>
          </w:tcPr>
          <w:p w14:paraId="25AD7EB6" w14:textId="77777777" w:rsidR="00A81870" w:rsidRPr="00F77A01" w:rsidRDefault="00A81870" w:rsidP="00957225">
            <w:pPr>
              <w:pStyle w:val="TBodynormalText"/>
              <w:rPr>
                <w:lang w:val="en-US"/>
              </w:rPr>
            </w:pPr>
            <w:r w:rsidRPr="001027B3">
              <w:rPr>
                <w:lang w:val="en-US"/>
              </w:rPr>
              <w:t>Enabling Functions, Other Activities, Consolidation</w:t>
            </w:r>
          </w:p>
        </w:tc>
        <w:tc>
          <w:tcPr>
            <w:tcW w:w="119" w:type="dxa"/>
            <w:noWrap/>
            <w:vAlign w:val="bottom"/>
          </w:tcPr>
          <w:p w14:paraId="0BE2E4B0" w14:textId="77777777" w:rsidR="00A81870" w:rsidRPr="00F77A01" w:rsidRDefault="00A81870" w:rsidP="00957225">
            <w:pPr>
              <w:pStyle w:val="TBodynormalNumber"/>
              <w:keepNext/>
              <w:rPr>
                <w:lang w:val="en-US"/>
              </w:rPr>
            </w:pPr>
          </w:p>
        </w:tc>
        <w:tc>
          <w:tcPr>
            <w:tcW w:w="1021" w:type="dxa"/>
            <w:tcBorders>
              <w:top w:val="single" w:sz="4" w:space="0" w:color="A59C94"/>
              <w:bottom w:val="single" w:sz="4" w:space="0" w:color="A59C94"/>
            </w:tcBorders>
            <w:noWrap/>
            <w:vAlign w:val="bottom"/>
          </w:tcPr>
          <w:p w14:paraId="1A6BDBE0" w14:textId="77777777" w:rsidR="00A81870" w:rsidRDefault="00A81870" w:rsidP="00957225">
            <w:pPr>
              <w:pStyle w:val="TBodynormalNumber"/>
              <w:keepNext/>
            </w:pPr>
            <w:r>
              <w:t>18</w:t>
            </w:r>
          </w:p>
        </w:tc>
        <w:tc>
          <w:tcPr>
            <w:tcW w:w="119" w:type="dxa"/>
            <w:noWrap/>
            <w:vAlign w:val="bottom"/>
          </w:tcPr>
          <w:p w14:paraId="36DEF319"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220CDF1" w14:textId="77777777" w:rsidR="00A81870" w:rsidRDefault="00A81870" w:rsidP="00957225">
            <w:pPr>
              <w:pStyle w:val="TBodynormalNumber"/>
              <w:keepNext/>
            </w:pPr>
            <w:r>
              <w:t>14</w:t>
            </w:r>
          </w:p>
        </w:tc>
        <w:tc>
          <w:tcPr>
            <w:tcW w:w="119" w:type="dxa"/>
            <w:noWrap/>
            <w:vAlign w:val="bottom"/>
          </w:tcPr>
          <w:p w14:paraId="5F895171"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3206536A" w14:textId="77777777" w:rsidR="00A81870" w:rsidRDefault="00A81870" w:rsidP="00957225">
            <w:pPr>
              <w:pStyle w:val="TBodynormalNumber"/>
              <w:keepNext/>
            </w:pPr>
            <w:r>
              <w:t>-22</w:t>
            </w:r>
          </w:p>
        </w:tc>
        <w:tc>
          <w:tcPr>
            <w:tcW w:w="119" w:type="dxa"/>
            <w:noWrap/>
            <w:vAlign w:val="bottom"/>
          </w:tcPr>
          <w:p w14:paraId="37BACA8C"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13F929D0" w14:textId="77777777" w:rsidR="00A81870" w:rsidRDefault="00A81870" w:rsidP="00957225">
            <w:pPr>
              <w:pStyle w:val="TBodynormalNumber"/>
              <w:keepNext/>
            </w:pPr>
            <w:r>
              <w:t>-67</w:t>
            </w:r>
          </w:p>
        </w:tc>
        <w:tc>
          <w:tcPr>
            <w:tcW w:w="119" w:type="dxa"/>
            <w:noWrap/>
            <w:vAlign w:val="bottom"/>
          </w:tcPr>
          <w:p w14:paraId="58C5D8F1"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9208139" w14:textId="77777777" w:rsidR="00A81870" w:rsidRDefault="00A81870" w:rsidP="00957225">
            <w:pPr>
              <w:pStyle w:val="TBodynormalNumber"/>
              <w:keepNext/>
            </w:pPr>
            <w:r>
              <w:t>-77</w:t>
            </w:r>
          </w:p>
        </w:tc>
        <w:tc>
          <w:tcPr>
            <w:tcW w:w="119" w:type="dxa"/>
            <w:noWrap/>
            <w:vAlign w:val="bottom"/>
          </w:tcPr>
          <w:p w14:paraId="2F0A4239"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379B485E" w14:textId="77777777" w:rsidR="00A81870" w:rsidRDefault="00A81870" w:rsidP="00957225">
            <w:pPr>
              <w:pStyle w:val="TBodynormalNumber"/>
              <w:keepNext/>
            </w:pPr>
            <w:r>
              <w:t>-15</w:t>
            </w:r>
          </w:p>
        </w:tc>
      </w:tr>
      <w:tr w:rsidR="00A81870" w14:paraId="44590775" w14:textId="77777777" w:rsidTr="00957225">
        <w:tc>
          <w:tcPr>
            <w:tcW w:w="2914" w:type="dxa"/>
            <w:tcBorders>
              <w:top w:val="single" w:sz="4" w:space="0" w:color="A59C94"/>
              <w:bottom w:val="single" w:sz="16" w:space="0" w:color="991D85"/>
            </w:tcBorders>
            <w:noWrap/>
            <w:vAlign w:val="bottom"/>
          </w:tcPr>
          <w:p w14:paraId="78A8B528" w14:textId="77777777" w:rsidR="00A81870" w:rsidRDefault="00A81870" w:rsidP="00957225">
            <w:pPr>
              <w:pStyle w:val="TBodytotalText"/>
            </w:pPr>
            <w:bookmarkStart w:id="25" w:name="RANGE!B33:N33"/>
            <w:bookmarkEnd w:id="25"/>
            <w:r>
              <w:t>Group</w:t>
            </w:r>
          </w:p>
        </w:tc>
        <w:tc>
          <w:tcPr>
            <w:tcW w:w="119" w:type="dxa"/>
            <w:tcBorders>
              <w:bottom w:val="single" w:sz="16" w:space="0" w:color="991D85"/>
            </w:tcBorders>
            <w:noWrap/>
            <w:vAlign w:val="bottom"/>
          </w:tcPr>
          <w:p w14:paraId="7B3AB850"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16BDCDC6" w14:textId="77777777" w:rsidR="00A81870" w:rsidRDefault="00A81870" w:rsidP="00957225">
            <w:pPr>
              <w:pStyle w:val="TBodytotalNumber"/>
            </w:pPr>
            <w:r>
              <w:t>2,827</w:t>
            </w:r>
          </w:p>
        </w:tc>
        <w:tc>
          <w:tcPr>
            <w:tcW w:w="119" w:type="dxa"/>
            <w:tcBorders>
              <w:bottom w:val="single" w:sz="16" w:space="0" w:color="991D85"/>
            </w:tcBorders>
            <w:noWrap/>
            <w:vAlign w:val="bottom"/>
          </w:tcPr>
          <w:p w14:paraId="0A8BF063" w14:textId="77777777" w:rsidR="00A81870" w:rsidRDefault="00A81870"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3591B612" w14:textId="77777777" w:rsidR="00A81870" w:rsidRDefault="00A81870" w:rsidP="00957225">
            <w:pPr>
              <w:pStyle w:val="TBodytotalNumber"/>
            </w:pPr>
            <w:r>
              <w:t>3,636</w:t>
            </w:r>
          </w:p>
        </w:tc>
        <w:tc>
          <w:tcPr>
            <w:tcW w:w="119" w:type="dxa"/>
            <w:tcBorders>
              <w:bottom w:val="single" w:sz="16" w:space="0" w:color="991D85"/>
            </w:tcBorders>
            <w:noWrap/>
            <w:vAlign w:val="bottom"/>
          </w:tcPr>
          <w:p w14:paraId="32029B8B"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2915F685" w14:textId="77777777" w:rsidR="00A81870" w:rsidRDefault="00A81870" w:rsidP="00957225">
            <w:pPr>
              <w:pStyle w:val="TBodytotalNumber"/>
            </w:pPr>
            <w:r>
              <w:t>29</w:t>
            </w:r>
          </w:p>
        </w:tc>
        <w:tc>
          <w:tcPr>
            <w:tcW w:w="119" w:type="dxa"/>
            <w:tcBorders>
              <w:bottom w:val="single" w:sz="16" w:space="0" w:color="991D85"/>
            </w:tcBorders>
            <w:noWrap/>
            <w:vAlign w:val="bottom"/>
          </w:tcPr>
          <w:p w14:paraId="4A9F09AF"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52434F59" w14:textId="77777777" w:rsidR="00A81870" w:rsidRDefault="00A81870" w:rsidP="00957225">
            <w:pPr>
              <w:pStyle w:val="TBodytotalNumber"/>
            </w:pPr>
            <w:r>
              <w:t>456</w:t>
            </w:r>
          </w:p>
        </w:tc>
        <w:tc>
          <w:tcPr>
            <w:tcW w:w="119" w:type="dxa"/>
            <w:tcBorders>
              <w:bottom w:val="single" w:sz="16" w:space="0" w:color="991D85"/>
            </w:tcBorders>
            <w:noWrap/>
            <w:vAlign w:val="bottom"/>
          </w:tcPr>
          <w:p w14:paraId="7B47DBD3" w14:textId="77777777" w:rsidR="00A81870" w:rsidRDefault="00A81870"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0EC92D55" w14:textId="77777777" w:rsidR="00A81870" w:rsidRDefault="00A81870" w:rsidP="00957225">
            <w:pPr>
              <w:pStyle w:val="TBodytotalNumber"/>
            </w:pPr>
            <w:r>
              <w:t>649</w:t>
            </w:r>
          </w:p>
        </w:tc>
        <w:tc>
          <w:tcPr>
            <w:tcW w:w="119" w:type="dxa"/>
            <w:tcBorders>
              <w:bottom w:val="single" w:sz="16" w:space="0" w:color="991D85"/>
            </w:tcBorders>
            <w:noWrap/>
            <w:vAlign w:val="bottom"/>
          </w:tcPr>
          <w:p w14:paraId="56DCDD22"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721C5796" w14:textId="77777777" w:rsidR="00A81870" w:rsidRDefault="00A81870" w:rsidP="00957225">
            <w:pPr>
              <w:pStyle w:val="TBodytotalNumber"/>
            </w:pPr>
            <w:r>
              <w:t>42</w:t>
            </w:r>
          </w:p>
        </w:tc>
      </w:tr>
      <w:bookmarkEnd w:id="17"/>
    </w:tbl>
    <w:p w14:paraId="267FF7FC" w14:textId="4D55031E" w:rsidR="00A81870" w:rsidRDefault="00A81870" w:rsidP="00A81870">
      <w:pPr>
        <w:pStyle w:val="StandardWeb"/>
        <w:spacing w:after="240" w:line="372" w:lineRule="atLeast"/>
        <w:rPr>
          <w:rFonts w:ascii="Trebuchet MS" w:hAnsi="Trebuchet MS"/>
          <w:sz w:val="20"/>
          <w:szCs w:val="20"/>
        </w:rPr>
      </w:pPr>
    </w:p>
    <w:p w14:paraId="5165859E" w14:textId="77777777" w:rsidR="000B593C" w:rsidRDefault="000B593C" w:rsidP="00A81870">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halbjahr"/>
        <w:tblDescription w:val="SNEID_c62dec0fc810469592f6cb012e699811"/>
      </w:tblPr>
      <w:tblGrid>
        <w:gridCol w:w="2912"/>
        <w:gridCol w:w="119"/>
        <w:gridCol w:w="1021"/>
        <w:gridCol w:w="119"/>
        <w:gridCol w:w="1021"/>
        <w:gridCol w:w="119"/>
        <w:gridCol w:w="1021"/>
        <w:gridCol w:w="119"/>
        <w:gridCol w:w="1021"/>
        <w:gridCol w:w="119"/>
        <w:gridCol w:w="1021"/>
        <w:gridCol w:w="119"/>
        <w:gridCol w:w="1021"/>
      </w:tblGrid>
      <w:tr w:rsidR="00A81870" w14:paraId="7A369B70" w14:textId="77777777" w:rsidTr="00957225">
        <w:tc>
          <w:tcPr>
            <w:tcW w:w="9754" w:type="dxa"/>
            <w:gridSpan w:val="13"/>
            <w:noWrap/>
            <w:vAlign w:val="bottom"/>
          </w:tcPr>
          <w:p w14:paraId="16594847" w14:textId="77777777" w:rsidR="00A81870" w:rsidRDefault="00A81870" w:rsidP="00957225">
            <w:pPr>
              <w:pStyle w:val="TTitleText"/>
            </w:pPr>
            <w:bookmarkStart w:id="26" w:name="SNEID_c62dec0fc810469592f6cb012e699811"/>
            <w:r>
              <w:t>Segment performance – 1st half</w:t>
            </w:r>
          </w:p>
        </w:tc>
      </w:tr>
      <w:tr w:rsidR="00A81870" w14:paraId="105759FC" w14:textId="77777777" w:rsidTr="00957225">
        <w:tc>
          <w:tcPr>
            <w:tcW w:w="2914" w:type="dxa"/>
            <w:tcBorders>
              <w:top w:val="single" w:sz="8" w:space="0" w:color="000000"/>
            </w:tcBorders>
            <w:noWrap/>
            <w:vAlign w:val="bottom"/>
          </w:tcPr>
          <w:p w14:paraId="1BF61B1D" w14:textId="77777777" w:rsidR="00A81870" w:rsidRDefault="00A81870" w:rsidP="00957225">
            <w:pPr>
              <w:pStyle w:val="TDummy"/>
              <w:keepNext/>
            </w:pPr>
          </w:p>
        </w:tc>
        <w:tc>
          <w:tcPr>
            <w:tcW w:w="119" w:type="dxa"/>
            <w:tcBorders>
              <w:top w:val="single" w:sz="8" w:space="0" w:color="000000"/>
            </w:tcBorders>
            <w:noWrap/>
            <w:vAlign w:val="bottom"/>
          </w:tcPr>
          <w:p w14:paraId="4B7AF217" w14:textId="77777777" w:rsidR="00A81870" w:rsidRDefault="00A81870" w:rsidP="00957225">
            <w:pPr>
              <w:pStyle w:val="TDummy"/>
              <w:keepNext/>
            </w:pPr>
          </w:p>
        </w:tc>
        <w:tc>
          <w:tcPr>
            <w:tcW w:w="1021" w:type="dxa"/>
            <w:tcBorders>
              <w:top w:val="single" w:sz="8" w:space="0" w:color="000000"/>
            </w:tcBorders>
            <w:noWrap/>
            <w:vAlign w:val="bottom"/>
          </w:tcPr>
          <w:p w14:paraId="46A62BEE" w14:textId="77777777" w:rsidR="00A81870" w:rsidRDefault="00A81870" w:rsidP="00957225">
            <w:pPr>
              <w:pStyle w:val="TDummy"/>
              <w:keepNext/>
            </w:pPr>
          </w:p>
        </w:tc>
        <w:tc>
          <w:tcPr>
            <w:tcW w:w="119" w:type="dxa"/>
            <w:tcBorders>
              <w:top w:val="single" w:sz="8" w:space="0" w:color="000000"/>
            </w:tcBorders>
            <w:noWrap/>
            <w:vAlign w:val="bottom"/>
          </w:tcPr>
          <w:p w14:paraId="6FF01F8D" w14:textId="77777777" w:rsidR="00A81870" w:rsidRDefault="00A81870" w:rsidP="00957225">
            <w:pPr>
              <w:pStyle w:val="TDummy"/>
              <w:keepNext/>
            </w:pPr>
          </w:p>
        </w:tc>
        <w:tc>
          <w:tcPr>
            <w:tcW w:w="1021" w:type="dxa"/>
            <w:tcBorders>
              <w:top w:val="single" w:sz="8" w:space="0" w:color="000000"/>
            </w:tcBorders>
            <w:noWrap/>
            <w:vAlign w:val="bottom"/>
          </w:tcPr>
          <w:p w14:paraId="69F7591C" w14:textId="77777777" w:rsidR="00A81870" w:rsidRDefault="00A81870" w:rsidP="00957225">
            <w:pPr>
              <w:pStyle w:val="TDummy"/>
              <w:keepNext/>
            </w:pPr>
          </w:p>
        </w:tc>
        <w:tc>
          <w:tcPr>
            <w:tcW w:w="119" w:type="dxa"/>
            <w:tcBorders>
              <w:top w:val="single" w:sz="8" w:space="0" w:color="000000"/>
            </w:tcBorders>
            <w:noWrap/>
            <w:vAlign w:val="bottom"/>
          </w:tcPr>
          <w:p w14:paraId="51226ECC" w14:textId="77777777" w:rsidR="00A81870" w:rsidRDefault="00A81870" w:rsidP="00957225">
            <w:pPr>
              <w:pStyle w:val="TDummy"/>
              <w:keepNext/>
            </w:pPr>
          </w:p>
        </w:tc>
        <w:tc>
          <w:tcPr>
            <w:tcW w:w="1021" w:type="dxa"/>
            <w:tcBorders>
              <w:top w:val="single" w:sz="8" w:space="0" w:color="000000"/>
            </w:tcBorders>
            <w:noWrap/>
            <w:vAlign w:val="bottom"/>
          </w:tcPr>
          <w:p w14:paraId="310169F8" w14:textId="77777777" w:rsidR="00A81870" w:rsidRDefault="00A81870" w:rsidP="00957225">
            <w:pPr>
              <w:pStyle w:val="TDummy"/>
              <w:keepNext/>
            </w:pPr>
          </w:p>
        </w:tc>
        <w:tc>
          <w:tcPr>
            <w:tcW w:w="119" w:type="dxa"/>
            <w:tcBorders>
              <w:top w:val="single" w:sz="8" w:space="0" w:color="000000"/>
            </w:tcBorders>
            <w:noWrap/>
            <w:vAlign w:val="bottom"/>
          </w:tcPr>
          <w:p w14:paraId="1E4B0B1D" w14:textId="77777777" w:rsidR="00A81870" w:rsidRDefault="00A81870" w:rsidP="00957225">
            <w:pPr>
              <w:pStyle w:val="TDummy"/>
              <w:keepNext/>
            </w:pPr>
          </w:p>
        </w:tc>
        <w:tc>
          <w:tcPr>
            <w:tcW w:w="1021" w:type="dxa"/>
            <w:tcBorders>
              <w:top w:val="single" w:sz="8" w:space="0" w:color="000000"/>
            </w:tcBorders>
            <w:noWrap/>
            <w:vAlign w:val="bottom"/>
          </w:tcPr>
          <w:p w14:paraId="3FF61DF8" w14:textId="77777777" w:rsidR="00A81870" w:rsidRDefault="00A81870" w:rsidP="00957225">
            <w:pPr>
              <w:pStyle w:val="TDummy"/>
              <w:keepNext/>
            </w:pPr>
          </w:p>
        </w:tc>
        <w:tc>
          <w:tcPr>
            <w:tcW w:w="119" w:type="dxa"/>
            <w:tcBorders>
              <w:top w:val="single" w:sz="8" w:space="0" w:color="000000"/>
            </w:tcBorders>
            <w:noWrap/>
            <w:vAlign w:val="bottom"/>
          </w:tcPr>
          <w:p w14:paraId="5FE8830A" w14:textId="77777777" w:rsidR="00A81870" w:rsidRDefault="00A81870" w:rsidP="00957225">
            <w:pPr>
              <w:pStyle w:val="TDummy"/>
              <w:keepNext/>
            </w:pPr>
          </w:p>
        </w:tc>
        <w:tc>
          <w:tcPr>
            <w:tcW w:w="1021" w:type="dxa"/>
            <w:tcBorders>
              <w:top w:val="single" w:sz="8" w:space="0" w:color="000000"/>
            </w:tcBorders>
            <w:noWrap/>
            <w:vAlign w:val="bottom"/>
          </w:tcPr>
          <w:p w14:paraId="75F80F90" w14:textId="77777777" w:rsidR="00A81870" w:rsidRDefault="00A81870" w:rsidP="00957225">
            <w:pPr>
              <w:pStyle w:val="TDummy"/>
              <w:keepNext/>
            </w:pPr>
          </w:p>
        </w:tc>
        <w:tc>
          <w:tcPr>
            <w:tcW w:w="119" w:type="dxa"/>
            <w:tcBorders>
              <w:top w:val="single" w:sz="8" w:space="0" w:color="000000"/>
            </w:tcBorders>
            <w:noWrap/>
            <w:vAlign w:val="bottom"/>
          </w:tcPr>
          <w:p w14:paraId="487A0DF5" w14:textId="77777777" w:rsidR="00A81870" w:rsidRDefault="00A81870" w:rsidP="00957225">
            <w:pPr>
              <w:pStyle w:val="TDummy"/>
              <w:keepNext/>
            </w:pPr>
          </w:p>
        </w:tc>
        <w:tc>
          <w:tcPr>
            <w:tcW w:w="1021" w:type="dxa"/>
            <w:tcBorders>
              <w:top w:val="single" w:sz="8" w:space="0" w:color="000000"/>
            </w:tcBorders>
            <w:noWrap/>
            <w:vAlign w:val="bottom"/>
          </w:tcPr>
          <w:p w14:paraId="0D765995" w14:textId="77777777" w:rsidR="00A81870" w:rsidRDefault="00A81870" w:rsidP="00957225">
            <w:pPr>
              <w:pStyle w:val="TDummy"/>
              <w:keepNext/>
            </w:pPr>
          </w:p>
        </w:tc>
      </w:tr>
      <w:tr w:rsidR="00A81870" w14:paraId="4ABABA69" w14:textId="77777777" w:rsidTr="00957225">
        <w:tc>
          <w:tcPr>
            <w:tcW w:w="2914" w:type="dxa"/>
            <w:shd w:val="clear" w:color="000000" w:fill="FFFFFF"/>
            <w:noWrap/>
            <w:vAlign w:val="bottom"/>
          </w:tcPr>
          <w:p w14:paraId="0223DC83" w14:textId="77777777" w:rsidR="00A81870" w:rsidRDefault="00A81870" w:rsidP="00957225">
            <w:pPr>
              <w:pStyle w:val="THeadfirstNumber"/>
            </w:pPr>
            <w:bookmarkStart w:id="27" w:name="RANGE!B37:N37"/>
            <w:bookmarkStart w:id="28" w:name="RANGE!B37"/>
            <w:bookmarkEnd w:id="27"/>
            <w:bookmarkEnd w:id="28"/>
          </w:p>
        </w:tc>
        <w:tc>
          <w:tcPr>
            <w:tcW w:w="119" w:type="dxa"/>
            <w:noWrap/>
            <w:vAlign w:val="bottom"/>
          </w:tcPr>
          <w:p w14:paraId="34CF3767" w14:textId="77777777" w:rsidR="00A81870" w:rsidRDefault="00A81870" w:rsidP="00957225">
            <w:pPr>
              <w:pStyle w:val="THeadfirstNumber"/>
            </w:pPr>
          </w:p>
        </w:tc>
        <w:tc>
          <w:tcPr>
            <w:tcW w:w="3301" w:type="dxa"/>
            <w:gridSpan w:val="5"/>
            <w:tcBorders>
              <w:bottom w:val="single" w:sz="4" w:space="0" w:color="A59C94"/>
            </w:tcBorders>
            <w:shd w:val="clear" w:color="000000" w:fill="FFFFFF"/>
            <w:vAlign w:val="bottom"/>
          </w:tcPr>
          <w:p w14:paraId="0C8D2B89" w14:textId="77777777" w:rsidR="00A81870" w:rsidRDefault="00A81870" w:rsidP="00957225">
            <w:pPr>
              <w:pStyle w:val="THeadfirstNumber"/>
            </w:pPr>
            <w:r>
              <w:t>Sales</w:t>
            </w:r>
          </w:p>
        </w:tc>
        <w:tc>
          <w:tcPr>
            <w:tcW w:w="119" w:type="dxa"/>
            <w:vAlign w:val="bottom"/>
          </w:tcPr>
          <w:p w14:paraId="1ECBEB55" w14:textId="77777777" w:rsidR="00A81870" w:rsidRDefault="00A81870" w:rsidP="00957225">
            <w:pPr>
              <w:pStyle w:val="THeadfirstNumber"/>
            </w:pPr>
          </w:p>
        </w:tc>
        <w:tc>
          <w:tcPr>
            <w:tcW w:w="3301" w:type="dxa"/>
            <w:gridSpan w:val="5"/>
            <w:tcBorders>
              <w:bottom w:val="single" w:sz="4" w:space="0" w:color="A59C94"/>
            </w:tcBorders>
            <w:shd w:val="clear" w:color="000000" w:fill="FFFFFF"/>
            <w:vAlign w:val="bottom"/>
          </w:tcPr>
          <w:p w14:paraId="100FD713" w14:textId="77777777" w:rsidR="00A81870" w:rsidRDefault="00A81870" w:rsidP="00957225">
            <w:pPr>
              <w:pStyle w:val="THeadfirstNumber"/>
            </w:pPr>
            <w:proofErr w:type="spellStart"/>
            <w:r>
              <w:t>Adjusted</w:t>
            </w:r>
            <w:proofErr w:type="spellEnd"/>
            <w:r>
              <w:t xml:space="preserve"> EBITDA</w:t>
            </w:r>
          </w:p>
        </w:tc>
      </w:tr>
      <w:tr w:rsidR="00A81870" w14:paraId="36CEC178" w14:textId="77777777" w:rsidTr="00957225">
        <w:tc>
          <w:tcPr>
            <w:tcW w:w="2914" w:type="dxa"/>
            <w:tcBorders>
              <w:bottom w:val="single" w:sz="4" w:space="0" w:color="000000"/>
            </w:tcBorders>
            <w:shd w:val="clear" w:color="000000" w:fill="FFFFFF"/>
            <w:noWrap/>
            <w:vAlign w:val="bottom"/>
          </w:tcPr>
          <w:p w14:paraId="788E250F" w14:textId="77777777" w:rsidR="00A81870" w:rsidRDefault="00A81870" w:rsidP="00957225">
            <w:pPr>
              <w:pStyle w:val="THeadlastText"/>
            </w:pPr>
            <w:bookmarkStart w:id="29" w:name="RANGE!B38:N38"/>
            <w:bookmarkEnd w:id="29"/>
            <w:r>
              <w:t xml:space="preserve">in € </w:t>
            </w:r>
            <w:proofErr w:type="spellStart"/>
            <w:r>
              <w:t>million</w:t>
            </w:r>
            <w:proofErr w:type="spellEnd"/>
          </w:p>
        </w:tc>
        <w:tc>
          <w:tcPr>
            <w:tcW w:w="119" w:type="dxa"/>
            <w:noWrap/>
            <w:vAlign w:val="bottom"/>
          </w:tcPr>
          <w:p w14:paraId="0030A544"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6540DC12" w14:textId="77777777" w:rsidR="00A81870" w:rsidRDefault="00A81870" w:rsidP="00957225">
            <w:pPr>
              <w:pStyle w:val="THeadlastNumber"/>
            </w:pPr>
            <w:r>
              <w:t>2020</w:t>
            </w:r>
          </w:p>
        </w:tc>
        <w:tc>
          <w:tcPr>
            <w:tcW w:w="119" w:type="dxa"/>
            <w:vAlign w:val="bottom"/>
          </w:tcPr>
          <w:p w14:paraId="04478B7D"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47BF0051" w14:textId="77777777" w:rsidR="00A81870" w:rsidRDefault="00A81870" w:rsidP="00957225">
            <w:pPr>
              <w:pStyle w:val="THeadlastNumberbold"/>
            </w:pPr>
            <w:bookmarkStart w:id="30" w:name="RANGE!F38:F45"/>
            <w:bookmarkEnd w:id="30"/>
            <w:r>
              <w:t>2021</w:t>
            </w:r>
          </w:p>
        </w:tc>
        <w:tc>
          <w:tcPr>
            <w:tcW w:w="119" w:type="dxa"/>
            <w:vAlign w:val="bottom"/>
          </w:tcPr>
          <w:p w14:paraId="057C0F54"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0364AC36" w14:textId="77777777" w:rsidR="00A81870" w:rsidRDefault="00A81870" w:rsidP="00957225">
            <w:pPr>
              <w:pStyle w:val="THeaddifferenceNumber"/>
              <w:keepNext/>
            </w:pPr>
            <w:bookmarkStart w:id="31" w:name="RANGE!H38:H45"/>
            <w:bookmarkEnd w:id="31"/>
            <w:r>
              <w:t>Change in %</w:t>
            </w:r>
          </w:p>
        </w:tc>
        <w:tc>
          <w:tcPr>
            <w:tcW w:w="119" w:type="dxa"/>
            <w:vAlign w:val="bottom"/>
          </w:tcPr>
          <w:p w14:paraId="482F4AEA"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5959CECB" w14:textId="77777777" w:rsidR="00A81870" w:rsidRDefault="00A81870" w:rsidP="00957225">
            <w:pPr>
              <w:pStyle w:val="THeadlastNumber"/>
            </w:pPr>
            <w:r>
              <w:t>2020</w:t>
            </w:r>
          </w:p>
        </w:tc>
        <w:tc>
          <w:tcPr>
            <w:tcW w:w="119" w:type="dxa"/>
            <w:vAlign w:val="bottom"/>
          </w:tcPr>
          <w:p w14:paraId="655F2F24"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vAlign w:val="bottom"/>
          </w:tcPr>
          <w:p w14:paraId="0FA0596A" w14:textId="77777777" w:rsidR="00A81870" w:rsidRDefault="00A81870" w:rsidP="00957225">
            <w:pPr>
              <w:pStyle w:val="THeadlastNumberbold"/>
            </w:pPr>
            <w:bookmarkStart w:id="32" w:name="RANGE!L38:L45"/>
            <w:bookmarkEnd w:id="32"/>
            <w:r>
              <w:t>2021</w:t>
            </w:r>
          </w:p>
        </w:tc>
        <w:tc>
          <w:tcPr>
            <w:tcW w:w="119" w:type="dxa"/>
            <w:vAlign w:val="bottom"/>
          </w:tcPr>
          <w:p w14:paraId="1592E91D" w14:textId="77777777" w:rsidR="00A81870" w:rsidRDefault="00A81870" w:rsidP="00957225">
            <w:pPr>
              <w:pStyle w:val="THeadlastNumber"/>
            </w:pPr>
          </w:p>
        </w:tc>
        <w:tc>
          <w:tcPr>
            <w:tcW w:w="1021" w:type="dxa"/>
            <w:tcBorders>
              <w:top w:val="single" w:sz="4" w:space="0" w:color="A59C94"/>
              <w:bottom w:val="single" w:sz="4" w:space="0" w:color="000000"/>
            </w:tcBorders>
            <w:shd w:val="clear" w:color="000000" w:fill="FFFFFF"/>
            <w:noWrap/>
            <w:vAlign w:val="bottom"/>
          </w:tcPr>
          <w:p w14:paraId="4005BA74" w14:textId="77777777" w:rsidR="00A81870" w:rsidRDefault="00A81870" w:rsidP="00957225">
            <w:pPr>
              <w:pStyle w:val="THeaddifferenceNumber"/>
              <w:keepNext/>
            </w:pPr>
            <w:bookmarkStart w:id="33" w:name="RANGE!N38:N45"/>
            <w:bookmarkEnd w:id="33"/>
            <w:r>
              <w:t>Change in %</w:t>
            </w:r>
          </w:p>
        </w:tc>
      </w:tr>
      <w:tr w:rsidR="00A81870" w14:paraId="0A5BBDAF" w14:textId="77777777" w:rsidTr="00957225">
        <w:tc>
          <w:tcPr>
            <w:tcW w:w="2914" w:type="dxa"/>
            <w:tcBorders>
              <w:top w:val="single" w:sz="4" w:space="0" w:color="000000"/>
              <w:bottom w:val="single" w:sz="4" w:space="0" w:color="A59C94"/>
            </w:tcBorders>
            <w:noWrap/>
            <w:vAlign w:val="bottom"/>
          </w:tcPr>
          <w:p w14:paraId="34E0DD74" w14:textId="77777777" w:rsidR="00A81870" w:rsidRDefault="00A81870" w:rsidP="00957225">
            <w:pPr>
              <w:pStyle w:val="TBodynormalText"/>
            </w:pPr>
            <w:r>
              <w:t>Specialty Additives</w:t>
            </w:r>
          </w:p>
        </w:tc>
        <w:tc>
          <w:tcPr>
            <w:tcW w:w="119" w:type="dxa"/>
            <w:noWrap/>
            <w:vAlign w:val="bottom"/>
          </w:tcPr>
          <w:p w14:paraId="319C8235"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5C3C07A4" w14:textId="77777777" w:rsidR="00A81870" w:rsidRDefault="00A81870" w:rsidP="00957225">
            <w:pPr>
              <w:pStyle w:val="TBodynormalNumber"/>
              <w:keepNext/>
            </w:pPr>
            <w:r>
              <w:t>1,600</w:t>
            </w:r>
          </w:p>
        </w:tc>
        <w:tc>
          <w:tcPr>
            <w:tcW w:w="119" w:type="dxa"/>
            <w:noWrap/>
            <w:vAlign w:val="bottom"/>
          </w:tcPr>
          <w:p w14:paraId="05FDF6FF" w14:textId="77777777" w:rsidR="00A81870" w:rsidRDefault="00A81870"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7AF954FF" w14:textId="77777777" w:rsidR="00A81870" w:rsidRDefault="00A81870" w:rsidP="00957225">
            <w:pPr>
              <w:pStyle w:val="TBodynormalNumber"/>
              <w:keepNext/>
            </w:pPr>
            <w:r>
              <w:t>1,829</w:t>
            </w:r>
          </w:p>
        </w:tc>
        <w:tc>
          <w:tcPr>
            <w:tcW w:w="119" w:type="dxa"/>
            <w:noWrap/>
            <w:vAlign w:val="bottom"/>
          </w:tcPr>
          <w:p w14:paraId="4A3EBBF6"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63BDB9FC" w14:textId="77777777" w:rsidR="00A81870" w:rsidRDefault="00A81870" w:rsidP="00957225">
            <w:pPr>
              <w:pStyle w:val="TBodynormalNumber"/>
              <w:keepNext/>
            </w:pPr>
            <w:r>
              <w:t>14</w:t>
            </w:r>
          </w:p>
        </w:tc>
        <w:tc>
          <w:tcPr>
            <w:tcW w:w="119" w:type="dxa"/>
            <w:noWrap/>
            <w:vAlign w:val="bottom"/>
          </w:tcPr>
          <w:p w14:paraId="0094EECA"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6C99609F" w14:textId="77777777" w:rsidR="00A81870" w:rsidRDefault="00A81870" w:rsidP="00957225">
            <w:pPr>
              <w:pStyle w:val="TBodynormalNumber"/>
              <w:keepNext/>
            </w:pPr>
            <w:r>
              <w:t>442</w:t>
            </w:r>
          </w:p>
        </w:tc>
        <w:tc>
          <w:tcPr>
            <w:tcW w:w="119" w:type="dxa"/>
            <w:noWrap/>
            <w:vAlign w:val="bottom"/>
          </w:tcPr>
          <w:p w14:paraId="531C982A" w14:textId="77777777" w:rsidR="00A81870" w:rsidRDefault="00A81870"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0B0677ED" w14:textId="77777777" w:rsidR="00A81870" w:rsidRDefault="00A81870" w:rsidP="00957225">
            <w:pPr>
              <w:pStyle w:val="TBodynormalNumber"/>
              <w:keepNext/>
            </w:pPr>
            <w:r>
              <w:t>515</w:t>
            </w:r>
          </w:p>
        </w:tc>
        <w:tc>
          <w:tcPr>
            <w:tcW w:w="119" w:type="dxa"/>
            <w:noWrap/>
            <w:vAlign w:val="bottom"/>
          </w:tcPr>
          <w:p w14:paraId="12336B75"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59AE2F5C" w14:textId="77777777" w:rsidR="00A81870" w:rsidRDefault="00A81870" w:rsidP="00957225">
            <w:pPr>
              <w:pStyle w:val="TBodynormalNumber"/>
              <w:keepNext/>
            </w:pPr>
            <w:r>
              <w:t>17</w:t>
            </w:r>
          </w:p>
        </w:tc>
      </w:tr>
      <w:tr w:rsidR="00A81870" w14:paraId="3A686A10" w14:textId="77777777" w:rsidTr="00957225">
        <w:tc>
          <w:tcPr>
            <w:tcW w:w="2914" w:type="dxa"/>
            <w:tcBorders>
              <w:top w:val="single" w:sz="4" w:space="0" w:color="A59C94"/>
              <w:bottom w:val="single" w:sz="4" w:space="0" w:color="A59C94"/>
            </w:tcBorders>
            <w:noWrap/>
            <w:vAlign w:val="bottom"/>
          </w:tcPr>
          <w:p w14:paraId="7C888D34" w14:textId="77777777" w:rsidR="00A81870" w:rsidRDefault="00A81870" w:rsidP="00957225">
            <w:pPr>
              <w:pStyle w:val="TBodynormalText"/>
            </w:pPr>
            <w:r>
              <w:t>Nutrition &amp; Care</w:t>
            </w:r>
          </w:p>
        </w:tc>
        <w:tc>
          <w:tcPr>
            <w:tcW w:w="119" w:type="dxa"/>
            <w:noWrap/>
            <w:vAlign w:val="bottom"/>
          </w:tcPr>
          <w:p w14:paraId="1D9E11A8"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41826FB" w14:textId="77777777" w:rsidR="00A81870" w:rsidRDefault="00A81870" w:rsidP="00957225">
            <w:pPr>
              <w:pStyle w:val="TBodynormalNumber"/>
              <w:keepNext/>
            </w:pPr>
            <w:r>
              <w:t>1,490</w:t>
            </w:r>
          </w:p>
        </w:tc>
        <w:tc>
          <w:tcPr>
            <w:tcW w:w="119" w:type="dxa"/>
            <w:noWrap/>
            <w:vAlign w:val="bottom"/>
          </w:tcPr>
          <w:p w14:paraId="3D9C59EE"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232C4C5" w14:textId="77777777" w:rsidR="00A81870" w:rsidRDefault="00A81870" w:rsidP="00957225">
            <w:pPr>
              <w:pStyle w:val="TBodynormalNumber"/>
              <w:keepNext/>
            </w:pPr>
            <w:r>
              <w:t>1,618</w:t>
            </w:r>
          </w:p>
        </w:tc>
        <w:tc>
          <w:tcPr>
            <w:tcW w:w="119" w:type="dxa"/>
            <w:noWrap/>
            <w:vAlign w:val="bottom"/>
          </w:tcPr>
          <w:p w14:paraId="60B39414"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6444AD4A" w14:textId="77777777" w:rsidR="00A81870" w:rsidRDefault="00A81870" w:rsidP="00957225">
            <w:pPr>
              <w:pStyle w:val="TBodynormalNumber"/>
              <w:keepNext/>
            </w:pPr>
            <w:r>
              <w:t>9</w:t>
            </w:r>
          </w:p>
        </w:tc>
        <w:tc>
          <w:tcPr>
            <w:tcW w:w="119" w:type="dxa"/>
            <w:noWrap/>
            <w:vAlign w:val="bottom"/>
          </w:tcPr>
          <w:p w14:paraId="39B8CA8C"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013F2E76" w14:textId="77777777" w:rsidR="00A81870" w:rsidRDefault="00A81870" w:rsidP="00957225">
            <w:pPr>
              <w:pStyle w:val="TBodynormalNumber"/>
              <w:keepNext/>
            </w:pPr>
            <w:r>
              <w:t>286</w:t>
            </w:r>
          </w:p>
        </w:tc>
        <w:tc>
          <w:tcPr>
            <w:tcW w:w="119" w:type="dxa"/>
            <w:noWrap/>
            <w:vAlign w:val="bottom"/>
          </w:tcPr>
          <w:p w14:paraId="6FE610EC"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8242671" w14:textId="77777777" w:rsidR="00A81870" w:rsidRDefault="00A81870" w:rsidP="00957225">
            <w:pPr>
              <w:pStyle w:val="TBodynormalNumber"/>
              <w:keepNext/>
            </w:pPr>
            <w:r>
              <w:t>325</w:t>
            </w:r>
          </w:p>
        </w:tc>
        <w:tc>
          <w:tcPr>
            <w:tcW w:w="119" w:type="dxa"/>
            <w:noWrap/>
            <w:vAlign w:val="bottom"/>
          </w:tcPr>
          <w:p w14:paraId="4DE3BA68"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3472FD33" w14:textId="77777777" w:rsidR="00A81870" w:rsidRDefault="00A81870" w:rsidP="00957225">
            <w:pPr>
              <w:pStyle w:val="TBodynormalNumber"/>
              <w:keepNext/>
            </w:pPr>
            <w:r>
              <w:t>14</w:t>
            </w:r>
          </w:p>
        </w:tc>
      </w:tr>
      <w:tr w:rsidR="00A81870" w14:paraId="3E490F13" w14:textId="77777777" w:rsidTr="00957225">
        <w:tc>
          <w:tcPr>
            <w:tcW w:w="2914" w:type="dxa"/>
            <w:tcBorders>
              <w:top w:val="single" w:sz="4" w:space="0" w:color="A59C94"/>
              <w:bottom w:val="single" w:sz="4" w:space="0" w:color="A59C94"/>
            </w:tcBorders>
            <w:noWrap/>
            <w:vAlign w:val="bottom"/>
          </w:tcPr>
          <w:p w14:paraId="52B9CE2A" w14:textId="77777777" w:rsidR="00A81870" w:rsidRDefault="00A81870" w:rsidP="00957225">
            <w:pPr>
              <w:pStyle w:val="TBodynormalText"/>
            </w:pPr>
            <w:r>
              <w:t>Smart Materials</w:t>
            </w:r>
          </w:p>
        </w:tc>
        <w:tc>
          <w:tcPr>
            <w:tcW w:w="119" w:type="dxa"/>
            <w:noWrap/>
            <w:vAlign w:val="bottom"/>
          </w:tcPr>
          <w:p w14:paraId="3D26FFBE"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1C2DF7BD" w14:textId="77777777" w:rsidR="00A81870" w:rsidRDefault="00A81870" w:rsidP="00957225">
            <w:pPr>
              <w:pStyle w:val="TBodynormalNumber"/>
              <w:keepNext/>
            </w:pPr>
            <w:r>
              <w:t>1,579</w:t>
            </w:r>
          </w:p>
        </w:tc>
        <w:tc>
          <w:tcPr>
            <w:tcW w:w="119" w:type="dxa"/>
            <w:noWrap/>
            <w:vAlign w:val="bottom"/>
          </w:tcPr>
          <w:p w14:paraId="2A85CDBA"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A3217A8" w14:textId="77777777" w:rsidR="00A81870" w:rsidRDefault="00A81870" w:rsidP="00957225">
            <w:pPr>
              <w:pStyle w:val="TBodynormalNumber"/>
              <w:keepNext/>
            </w:pPr>
            <w:r>
              <w:t>1,884</w:t>
            </w:r>
          </w:p>
        </w:tc>
        <w:tc>
          <w:tcPr>
            <w:tcW w:w="119" w:type="dxa"/>
            <w:noWrap/>
            <w:vAlign w:val="bottom"/>
          </w:tcPr>
          <w:p w14:paraId="1EC285FD"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79AFB5A" w14:textId="77777777" w:rsidR="00A81870" w:rsidRDefault="00A81870" w:rsidP="00957225">
            <w:pPr>
              <w:pStyle w:val="TBodynormalNumber"/>
              <w:keepNext/>
            </w:pPr>
            <w:r>
              <w:t>19</w:t>
            </w:r>
          </w:p>
        </w:tc>
        <w:tc>
          <w:tcPr>
            <w:tcW w:w="119" w:type="dxa"/>
            <w:noWrap/>
            <w:vAlign w:val="bottom"/>
          </w:tcPr>
          <w:p w14:paraId="7FA96742"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0EB5EB1" w14:textId="77777777" w:rsidR="00A81870" w:rsidRDefault="00A81870" w:rsidP="00957225">
            <w:pPr>
              <w:pStyle w:val="TBodynormalNumber"/>
              <w:keepNext/>
            </w:pPr>
            <w:r>
              <w:t>268</w:t>
            </w:r>
          </w:p>
        </w:tc>
        <w:tc>
          <w:tcPr>
            <w:tcW w:w="119" w:type="dxa"/>
            <w:noWrap/>
            <w:vAlign w:val="bottom"/>
          </w:tcPr>
          <w:p w14:paraId="009C6EC4"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C520D1A" w14:textId="77777777" w:rsidR="00A81870" w:rsidRDefault="00A81870" w:rsidP="00957225">
            <w:pPr>
              <w:pStyle w:val="TBodynormalNumber"/>
              <w:keepNext/>
            </w:pPr>
            <w:r>
              <w:t>350</w:t>
            </w:r>
          </w:p>
        </w:tc>
        <w:tc>
          <w:tcPr>
            <w:tcW w:w="119" w:type="dxa"/>
            <w:noWrap/>
            <w:vAlign w:val="bottom"/>
          </w:tcPr>
          <w:p w14:paraId="42CD6541"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CB2468A" w14:textId="77777777" w:rsidR="00A81870" w:rsidRDefault="00A81870" w:rsidP="00957225">
            <w:pPr>
              <w:pStyle w:val="TBodynormalNumber"/>
              <w:keepNext/>
            </w:pPr>
            <w:r>
              <w:t>31</w:t>
            </w:r>
          </w:p>
        </w:tc>
      </w:tr>
      <w:tr w:rsidR="00A81870" w14:paraId="45CC3349" w14:textId="77777777" w:rsidTr="00957225">
        <w:tc>
          <w:tcPr>
            <w:tcW w:w="2914" w:type="dxa"/>
            <w:tcBorders>
              <w:top w:val="single" w:sz="4" w:space="0" w:color="A59C94"/>
              <w:bottom w:val="single" w:sz="4" w:space="0" w:color="A59C94"/>
            </w:tcBorders>
            <w:noWrap/>
            <w:vAlign w:val="bottom"/>
          </w:tcPr>
          <w:p w14:paraId="13D417CF" w14:textId="77777777" w:rsidR="00A81870" w:rsidRDefault="00A81870" w:rsidP="00957225">
            <w:pPr>
              <w:pStyle w:val="TBodynormalText"/>
            </w:pPr>
            <w:r>
              <w:t>Performance Materials</w:t>
            </w:r>
          </w:p>
        </w:tc>
        <w:tc>
          <w:tcPr>
            <w:tcW w:w="119" w:type="dxa"/>
            <w:noWrap/>
            <w:vAlign w:val="bottom"/>
          </w:tcPr>
          <w:p w14:paraId="4AA213C0"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46DC8564" w14:textId="77777777" w:rsidR="00A81870" w:rsidRDefault="00A81870" w:rsidP="00957225">
            <w:pPr>
              <w:pStyle w:val="TBodynormalNumber"/>
              <w:keepNext/>
            </w:pPr>
            <w:r>
              <w:t>1,022</w:t>
            </w:r>
          </w:p>
        </w:tc>
        <w:tc>
          <w:tcPr>
            <w:tcW w:w="119" w:type="dxa"/>
            <w:noWrap/>
            <w:vAlign w:val="bottom"/>
          </w:tcPr>
          <w:p w14:paraId="14F62299"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19A162F" w14:textId="77777777" w:rsidR="00A81870" w:rsidRDefault="00A81870" w:rsidP="00957225">
            <w:pPr>
              <w:pStyle w:val="TBodynormalNumber"/>
              <w:keepNext/>
            </w:pPr>
            <w:bookmarkStart w:id="34" w:name="SNAMD_053068b550b548d48bb882e142ccf4c0"/>
            <w:r>
              <w:t>1,288</w:t>
            </w:r>
            <w:bookmarkEnd w:id="34"/>
          </w:p>
        </w:tc>
        <w:tc>
          <w:tcPr>
            <w:tcW w:w="119" w:type="dxa"/>
            <w:noWrap/>
            <w:vAlign w:val="bottom"/>
          </w:tcPr>
          <w:p w14:paraId="4F51D14E"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10D77B13" w14:textId="77777777" w:rsidR="00A81870" w:rsidRDefault="00A81870" w:rsidP="00957225">
            <w:pPr>
              <w:pStyle w:val="TBodynormalNumber"/>
              <w:keepNext/>
            </w:pPr>
            <w:r>
              <w:t>26</w:t>
            </w:r>
          </w:p>
        </w:tc>
        <w:tc>
          <w:tcPr>
            <w:tcW w:w="119" w:type="dxa"/>
            <w:noWrap/>
            <w:vAlign w:val="bottom"/>
          </w:tcPr>
          <w:p w14:paraId="3599444C"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3DDDA85" w14:textId="77777777" w:rsidR="00A81870" w:rsidRDefault="00A81870" w:rsidP="00957225">
            <w:pPr>
              <w:pStyle w:val="TBodynormalNumber"/>
              <w:keepNext/>
            </w:pPr>
            <w:r>
              <w:t>29</w:t>
            </w:r>
          </w:p>
        </w:tc>
        <w:tc>
          <w:tcPr>
            <w:tcW w:w="119" w:type="dxa"/>
            <w:noWrap/>
            <w:vAlign w:val="bottom"/>
          </w:tcPr>
          <w:p w14:paraId="01150207"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DFB74A0" w14:textId="77777777" w:rsidR="00A81870" w:rsidRDefault="00A81870" w:rsidP="00957225">
            <w:pPr>
              <w:pStyle w:val="TBodynormalNumber"/>
              <w:keepNext/>
            </w:pPr>
            <w:r>
              <w:t>140</w:t>
            </w:r>
          </w:p>
        </w:tc>
        <w:tc>
          <w:tcPr>
            <w:tcW w:w="119" w:type="dxa"/>
            <w:noWrap/>
            <w:vAlign w:val="bottom"/>
          </w:tcPr>
          <w:p w14:paraId="52B5ECCD"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84A4F2D" w14:textId="77777777" w:rsidR="00A81870" w:rsidRDefault="00A81870" w:rsidP="00957225">
            <w:pPr>
              <w:pStyle w:val="TBodynormalNumber"/>
              <w:keepNext/>
            </w:pPr>
            <w:r>
              <w:t>383</w:t>
            </w:r>
          </w:p>
        </w:tc>
      </w:tr>
      <w:tr w:rsidR="00A81870" w14:paraId="31519458" w14:textId="77777777" w:rsidTr="00957225">
        <w:tc>
          <w:tcPr>
            <w:tcW w:w="2914" w:type="dxa"/>
            <w:tcBorders>
              <w:top w:val="single" w:sz="4" w:space="0" w:color="A59C94"/>
              <w:bottom w:val="single" w:sz="4" w:space="0" w:color="A59C94"/>
            </w:tcBorders>
            <w:noWrap/>
            <w:vAlign w:val="bottom"/>
          </w:tcPr>
          <w:p w14:paraId="45D84B5D" w14:textId="77777777" w:rsidR="00A81870" w:rsidRDefault="00A81870" w:rsidP="00957225">
            <w:pPr>
              <w:pStyle w:val="TBodynormalText"/>
            </w:pPr>
            <w:r>
              <w:t>Technology &amp; Infrastructure</w:t>
            </w:r>
          </w:p>
        </w:tc>
        <w:tc>
          <w:tcPr>
            <w:tcW w:w="119" w:type="dxa"/>
            <w:noWrap/>
            <w:vAlign w:val="bottom"/>
          </w:tcPr>
          <w:p w14:paraId="15D01271"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6A6042DA" w14:textId="77777777" w:rsidR="00A81870" w:rsidRDefault="00A81870" w:rsidP="00957225">
            <w:pPr>
              <w:pStyle w:val="TBodynormalNumber"/>
              <w:keepNext/>
            </w:pPr>
            <w:r>
              <w:t>345</w:t>
            </w:r>
          </w:p>
        </w:tc>
        <w:tc>
          <w:tcPr>
            <w:tcW w:w="119" w:type="dxa"/>
            <w:noWrap/>
            <w:vAlign w:val="bottom"/>
          </w:tcPr>
          <w:p w14:paraId="09F1A22E"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5E7714A" w14:textId="77777777" w:rsidR="00A81870" w:rsidRDefault="00A81870" w:rsidP="00957225">
            <w:pPr>
              <w:pStyle w:val="TBodynormalNumber"/>
              <w:keepNext/>
            </w:pPr>
            <w:r>
              <w:t>348</w:t>
            </w:r>
          </w:p>
        </w:tc>
        <w:tc>
          <w:tcPr>
            <w:tcW w:w="119" w:type="dxa"/>
            <w:noWrap/>
            <w:vAlign w:val="bottom"/>
          </w:tcPr>
          <w:p w14:paraId="6AF1EEA9"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E5DADDF" w14:textId="77777777" w:rsidR="00A81870" w:rsidRDefault="00A81870" w:rsidP="00957225">
            <w:pPr>
              <w:pStyle w:val="TBodynormalNumber"/>
              <w:keepNext/>
            </w:pPr>
            <w:r>
              <w:t>1</w:t>
            </w:r>
          </w:p>
        </w:tc>
        <w:tc>
          <w:tcPr>
            <w:tcW w:w="119" w:type="dxa"/>
            <w:noWrap/>
            <w:vAlign w:val="bottom"/>
          </w:tcPr>
          <w:p w14:paraId="4AE4342E"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FB29F54" w14:textId="77777777" w:rsidR="00A81870" w:rsidRDefault="00A81870" w:rsidP="00957225">
            <w:pPr>
              <w:pStyle w:val="TBodynormalNumber"/>
              <w:keepNext/>
            </w:pPr>
            <w:r>
              <w:t>73</w:t>
            </w:r>
          </w:p>
        </w:tc>
        <w:tc>
          <w:tcPr>
            <w:tcW w:w="119" w:type="dxa"/>
            <w:noWrap/>
            <w:vAlign w:val="bottom"/>
          </w:tcPr>
          <w:p w14:paraId="72973274"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777D49" w14:textId="77777777" w:rsidR="00A81870" w:rsidRDefault="00A81870" w:rsidP="00957225">
            <w:pPr>
              <w:pStyle w:val="TBodynormalNumber"/>
              <w:keepNext/>
            </w:pPr>
            <w:r>
              <w:t>55</w:t>
            </w:r>
          </w:p>
        </w:tc>
        <w:tc>
          <w:tcPr>
            <w:tcW w:w="119" w:type="dxa"/>
            <w:noWrap/>
            <w:vAlign w:val="bottom"/>
          </w:tcPr>
          <w:p w14:paraId="5C0E17C9"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23B351B0" w14:textId="77777777" w:rsidR="00A81870" w:rsidRDefault="00A81870" w:rsidP="00957225">
            <w:pPr>
              <w:pStyle w:val="TBodynormalNumber"/>
              <w:keepNext/>
            </w:pPr>
            <w:r>
              <w:t>-25</w:t>
            </w:r>
          </w:p>
        </w:tc>
      </w:tr>
      <w:tr w:rsidR="00A81870" w14:paraId="083DDC5A" w14:textId="77777777" w:rsidTr="00957225">
        <w:tc>
          <w:tcPr>
            <w:tcW w:w="2914" w:type="dxa"/>
            <w:tcBorders>
              <w:top w:val="single" w:sz="4" w:space="0" w:color="A59C94"/>
              <w:bottom w:val="single" w:sz="4" w:space="0" w:color="A59C94"/>
            </w:tcBorders>
            <w:noWrap/>
            <w:vAlign w:val="bottom"/>
          </w:tcPr>
          <w:p w14:paraId="21B4D1C8" w14:textId="77777777" w:rsidR="00A81870" w:rsidRPr="00092FE1" w:rsidRDefault="00A81870" w:rsidP="00957225">
            <w:pPr>
              <w:pStyle w:val="TBodynormalText"/>
              <w:rPr>
                <w:lang w:val="en-US"/>
              </w:rPr>
            </w:pPr>
            <w:r w:rsidRPr="001027B3">
              <w:rPr>
                <w:lang w:val="en-US"/>
              </w:rPr>
              <w:t>Enabling Functions, Other Activities, Consolidation</w:t>
            </w:r>
          </w:p>
        </w:tc>
        <w:tc>
          <w:tcPr>
            <w:tcW w:w="119" w:type="dxa"/>
            <w:noWrap/>
            <w:vAlign w:val="bottom"/>
          </w:tcPr>
          <w:p w14:paraId="30E0A905" w14:textId="77777777" w:rsidR="00A81870" w:rsidRPr="00092FE1" w:rsidRDefault="00A81870" w:rsidP="00957225">
            <w:pPr>
              <w:pStyle w:val="TBodynormalNumber"/>
              <w:keepNext/>
              <w:rPr>
                <w:lang w:val="en-US"/>
              </w:rPr>
            </w:pPr>
          </w:p>
        </w:tc>
        <w:tc>
          <w:tcPr>
            <w:tcW w:w="1021" w:type="dxa"/>
            <w:tcBorders>
              <w:top w:val="single" w:sz="4" w:space="0" w:color="A59C94"/>
              <w:bottom w:val="single" w:sz="4" w:space="0" w:color="A59C94"/>
            </w:tcBorders>
            <w:noWrap/>
            <w:vAlign w:val="bottom"/>
          </w:tcPr>
          <w:p w14:paraId="35C0E39B" w14:textId="77777777" w:rsidR="00A81870" w:rsidRDefault="00A81870" w:rsidP="00957225">
            <w:pPr>
              <w:pStyle w:val="TBodynormalNumber"/>
              <w:keepNext/>
            </w:pPr>
            <w:r>
              <w:t>33</w:t>
            </w:r>
          </w:p>
        </w:tc>
        <w:tc>
          <w:tcPr>
            <w:tcW w:w="119" w:type="dxa"/>
            <w:noWrap/>
            <w:vAlign w:val="bottom"/>
          </w:tcPr>
          <w:p w14:paraId="43E89364"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C6B3440" w14:textId="77777777" w:rsidR="00A81870" w:rsidRDefault="00A81870" w:rsidP="00957225">
            <w:pPr>
              <w:pStyle w:val="TBodynormalNumber"/>
              <w:keepNext/>
            </w:pPr>
            <w:r>
              <w:t>27</w:t>
            </w:r>
          </w:p>
        </w:tc>
        <w:tc>
          <w:tcPr>
            <w:tcW w:w="119" w:type="dxa"/>
            <w:noWrap/>
            <w:vAlign w:val="bottom"/>
          </w:tcPr>
          <w:p w14:paraId="47C05BAF"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398A19A6" w14:textId="77777777" w:rsidR="00A81870" w:rsidRDefault="00A81870" w:rsidP="00957225">
            <w:pPr>
              <w:pStyle w:val="TBodynormalNumber"/>
              <w:keepNext/>
            </w:pPr>
            <w:r>
              <w:t>-18</w:t>
            </w:r>
          </w:p>
        </w:tc>
        <w:tc>
          <w:tcPr>
            <w:tcW w:w="119" w:type="dxa"/>
            <w:noWrap/>
            <w:vAlign w:val="bottom"/>
          </w:tcPr>
          <w:p w14:paraId="0206BD51"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7996EE4" w14:textId="77777777" w:rsidR="00A81870" w:rsidRDefault="00A81870" w:rsidP="00957225">
            <w:pPr>
              <w:pStyle w:val="TBodynormalNumber"/>
              <w:keepNext/>
            </w:pPr>
            <w:r>
              <w:t>-128</w:t>
            </w:r>
          </w:p>
        </w:tc>
        <w:tc>
          <w:tcPr>
            <w:tcW w:w="119" w:type="dxa"/>
            <w:noWrap/>
            <w:vAlign w:val="bottom"/>
          </w:tcPr>
          <w:p w14:paraId="34400FF3"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8B0B612" w14:textId="77777777" w:rsidR="00A81870" w:rsidRDefault="00A81870" w:rsidP="00957225">
            <w:pPr>
              <w:pStyle w:val="TBodynormalNumber"/>
              <w:keepNext/>
            </w:pPr>
            <w:r>
              <w:t>-148</w:t>
            </w:r>
          </w:p>
        </w:tc>
        <w:tc>
          <w:tcPr>
            <w:tcW w:w="119" w:type="dxa"/>
            <w:noWrap/>
            <w:vAlign w:val="bottom"/>
          </w:tcPr>
          <w:p w14:paraId="4E458D61"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D4DAEF5" w14:textId="77777777" w:rsidR="00A81870" w:rsidRDefault="00A81870" w:rsidP="00957225">
            <w:pPr>
              <w:pStyle w:val="TBodynormalNumber"/>
              <w:keepNext/>
            </w:pPr>
            <w:r>
              <w:t>-16</w:t>
            </w:r>
          </w:p>
        </w:tc>
      </w:tr>
      <w:tr w:rsidR="00A81870" w14:paraId="39A65F4F" w14:textId="77777777" w:rsidTr="00957225">
        <w:tc>
          <w:tcPr>
            <w:tcW w:w="2914" w:type="dxa"/>
            <w:tcBorders>
              <w:top w:val="single" w:sz="4" w:space="0" w:color="A59C94"/>
              <w:bottom w:val="single" w:sz="16" w:space="0" w:color="991D85"/>
            </w:tcBorders>
            <w:noWrap/>
            <w:vAlign w:val="bottom"/>
          </w:tcPr>
          <w:p w14:paraId="483B1906" w14:textId="77777777" w:rsidR="00A81870" w:rsidRDefault="00A81870" w:rsidP="00957225">
            <w:pPr>
              <w:pStyle w:val="TBodytotalText"/>
            </w:pPr>
            <w:bookmarkStart w:id="35" w:name="RANGE!B45:N45"/>
            <w:bookmarkEnd w:id="35"/>
            <w:r>
              <w:t>Group</w:t>
            </w:r>
          </w:p>
        </w:tc>
        <w:tc>
          <w:tcPr>
            <w:tcW w:w="119" w:type="dxa"/>
            <w:tcBorders>
              <w:bottom w:val="single" w:sz="16" w:space="0" w:color="991D85"/>
            </w:tcBorders>
            <w:noWrap/>
            <w:vAlign w:val="bottom"/>
          </w:tcPr>
          <w:p w14:paraId="1E3BDB17"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7950C802" w14:textId="77777777" w:rsidR="00A81870" w:rsidRDefault="00A81870" w:rsidP="00957225">
            <w:pPr>
              <w:pStyle w:val="TBodytotalNumber"/>
            </w:pPr>
            <w:r>
              <w:t>6,069</w:t>
            </w:r>
          </w:p>
        </w:tc>
        <w:tc>
          <w:tcPr>
            <w:tcW w:w="119" w:type="dxa"/>
            <w:tcBorders>
              <w:bottom w:val="single" w:sz="16" w:space="0" w:color="991D85"/>
            </w:tcBorders>
            <w:noWrap/>
            <w:vAlign w:val="bottom"/>
          </w:tcPr>
          <w:p w14:paraId="2B15FFF2" w14:textId="77777777" w:rsidR="00A81870" w:rsidRDefault="00A81870"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0608AD47" w14:textId="77777777" w:rsidR="00A81870" w:rsidRDefault="00A81870" w:rsidP="00957225">
            <w:pPr>
              <w:pStyle w:val="TBodytotalNumber"/>
            </w:pPr>
            <w:r>
              <w:t>6,994</w:t>
            </w:r>
          </w:p>
        </w:tc>
        <w:tc>
          <w:tcPr>
            <w:tcW w:w="119" w:type="dxa"/>
            <w:tcBorders>
              <w:bottom w:val="single" w:sz="16" w:space="0" w:color="991D85"/>
            </w:tcBorders>
            <w:noWrap/>
            <w:vAlign w:val="bottom"/>
          </w:tcPr>
          <w:p w14:paraId="15EC1F6A"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1E7DD5D7" w14:textId="77777777" w:rsidR="00A81870" w:rsidRDefault="00A81870" w:rsidP="00957225">
            <w:pPr>
              <w:pStyle w:val="TBodytotalNumber"/>
            </w:pPr>
            <w:r>
              <w:t>15</w:t>
            </w:r>
          </w:p>
        </w:tc>
        <w:tc>
          <w:tcPr>
            <w:tcW w:w="119" w:type="dxa"/>
            <w:tcBorders>
              <w:bottom w:val="single" w:sz="16" w:space="0" w:color="991D85"/>
            </w:tcBorders>
            <w:noWrap/>
            <w:vAlign w:val="bottom"/>
          </w:tcPr>
          <w:p w14:paraId="5C8152A6"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684C9753" w14:textId="77777777" w:rsidR="00A81870" w:rsidRDefault="00A81870" w:rsidP="00957225">
            <w:pPr>
              <w:pStyle w:val="TBodytotalNumber"/>
            </w:pPr>
            <w:bookmarkStart w:id="36" w:name="SNAMD_a0c40dd0329e4c50a0a98723f21c062b"/>
            <w:r>
              <w:t>970</w:t>
            </w:r>
            <w:bookmarkEnd w:id="36"/>
          </w:p>
        </w:tc>
        <w:tc>
          <w:tcPr>
            <w:tcW w:w="119" w:type="dxa"/>
            <w:tcBorders>
              <w:bottom w:val="single" w:sz="16" w:space="0" w:color="991D85"/>
            </w:tcBorders>
            <w:noWrap/>
            <w:vAlign w:val="bottom"/>
          </w:tcPr>
          <w:p w14:paraId="5D563001" w14:textId="77777777" w:rsidR="00A81870" w:rsidRDefault="00A81870"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4E7C82EF" w14:textId="77777777" w:rsidR="00A81870" w:rsidRDefault="00A81870" w:rsidP="00957225">
            <w:pPr>
              <w:pStyle w:val="TBodytotalNumber"/>
            </w:pPr>
            <w:bookmarkStart w:id="37" w:name="SNAMD_71110cf105f346ebbb34b525401432b7"/>
            <w:r>
              <w:t>1,237</w:t>
            </w:r>
            <w:bookmarkEnd w:id="37"/>
          </w:p>
        </w:tc>
        <w:tc>
          <w:tcPr>
            <w:tcW w:w="119" w:type="dxa"/>
            <w:tcBorders>
              <w:bottom w:val="single" w:sz="16" w:space="0" w:color="991D85"/>
            </w:tcBorders>
            <w:noWrap/>
            <w:vAlign w:val="bottom"/>
          </w:tcPr>
          <w:p w14:paraId="19B7EC3C"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3FEE725E" w14:textId="77777777" w:rsidR="00A81870" w:rsidRDefault="00A81870" w:rsidP="00957225">
            <w:pPr>
              <w:pStyle w:val="TBodytotalNumber"/>
            </w:pPr>
            <w:r>
              <w:t>28</w:t>
            </w:r>
          </w:p>
        </w:tc>
      </w:tr>
      <w:bookmarkEnd w:id="26"/>
    </w:tbl>
    <w:p w14:paraId="3EA32766" w14:textId="32D90CC2" w:rsidR="00A81870" w:rsidRDefault="00A81870" w:rsidP="00A81870">
      <w:pPr>
        <w:pStyle w:val="StandardWeb"/>
        <w:spacing w:after="240" w:line="372" w:lineRule="atLeast"/>
        <w:rPr>
          <w:rFonts w:ascii="Trebuchet MS" w:hAnsi="Trebuchet MS"/>
          <w:sz w:val="20"/>
          <w:szCs w:val="20"/>
        </w:rPr>
      </w:pPr>
    </w:p>
    <w:p w14:paraId="4BCB3249" w14:textId="77777777" w:rsidR="000B593C" w:rsidRDefault="000B593C" w:rsidP="00A81870">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A81870" w14:paraId="3F367792" w14:textId="77777777" w:rsidTr="00957225">
        <w:tc>
          <w:tcPr>
            <w:tcW w:w="7473" w:type="dxa"/>
            <w:noWrap/>
            <w:vAlign w:val="bottom"/>
          </w:tcPr>
          <w:p w14:paraId="142B5BC2" w14:textId="77777777" w:rsidR="00A81870" w:rsidRDefault="00A81870" w:rsidP="00957225">
            <w:pPr>
              <w:pStyle w:val="TTitleText"/>
            </w:pPr>
            <w:bookmarkStart w:id="38" w:name="SNEID_ff49204d453a430193fb198056f74b99"/>
            <w:r>
              <w:t>Employees by division</w:t>
            </w:r>
          </w:p>
        </w:tc>
        <w:tc>
          <w:tcPr>
            <w:tcW w:w="119" w:type="dxa"/>
            <w:noWrap/>
            <w:vAlign w:val="bottom"/>
          </w:tcPr>
          <w:p w14:paraId="5E6BE3F0" w14:textId="77777777" w:rsidR="00A81870" w:rsidRDefault="00A81870" w:rsidP="00957225">
            <w:pPr>
              <w:pStyle w:val="TTitleText"/>
            </w:pPr>
          </w:p>
        </w:tc>
        <w:tc>
          <w:tcPr>
            <w:tcW w:w="1021" w:type="dxa"/>
            <w:noWrap/>
            <w:vAlign w:val="bottom"/>
          </w:tcPr>
          <w:p w14:paraId="6C144C72" w14:textId="77777777" w:rsidR="00A81870" w:rsidRDefault="00A81870" w:rsidP="00957225">
            <w:pPr>
              <w:pStyle w:val="TTitleText"/>
            </w:pPr>
          </w:p>
        </w:tc>
        <w:tc>
          <w:tcPr>
            <w:tcW w:w="119" w:type="dxa"/>
            <w:noWrap/>
            <w:vAlign w:val="bottom"/>
          </w:tcPr>
          <w:p w14:paraId="61C59E95" w14:textId="77777777" w:rsidR="00A81870" w:rsidRDefault="00A81870" w:rsidP="00957225">
            <w:pPr>
              <w:pStyle w:val="TTitleText"/>
            </w:pPr>
          </w:p>
        </w:tc>
        <w:tc>
          <w:tcPr>
            <w:tcW w:w="1021" w:type="dxa"/>
            <w:noWrap/>
            <w:vAlign w:val="bottom"/>
          </w:tcPr>
          <w:p w14:paraId="7561ACFE" w14:textId="77777777" w:rsidR="00A81870" w:rsidRDefault="00A81870" w:rsidP="00957225">
            <w:pPr>
              <w:pStyle w:val="TTitleText"/>
            </w:pPr>
          </w:p>
        </w:tc>
      </w:tr>
      <w:tr w:rsidR="00A81870" w14:paraId="3A0E7511" w14:textId="77777777" w:rsidTr="00957225">
        <w:tc>
          <w:tcPr>
            <w:tcW w:w="7473" w:type="dxa"/>
            <w:tcBorders>
              <w:top w:val="single" w:sz="8" w:space="0" w:color="000000"/>
            </w:tcBorders>
            <w:noWrap/>
            <w:vAlign w:val="bottom"/>
          </w:tcPr>
          <w:p w14:paraId="2795FA13" w14:textId="77777777" w:rsidR="00A81870" w:rsidRDefault="00A81870" w:rsidP="00957225">
            <w:pPr>
              <w:pStyle w:val="TDummy"/>
              <w:keepNext/>
            </w:pPr>
          </w:p>
        </w:tc>
        <w:tc>
          <w:tcPr>
            <w:tcW w:w="119" w:type="dxa"/>
            <w:tcBorders>
              <w:top w:val="single" w:sz="8" w:space="0" w:color="000000"/>
            </w:tcBorders>
            <w:noWrap/>
            <w:vAlign w:val="bottom"/>
          </w:tcPr>
          <w:p w14:paraId="3FA7832B" w14:textId="77777777" w:rsidR="00A81870" w:rsidRDefault="00A81870" w:rsidP="00957225">
            <w:pPr>
              <w:pStyle w:val="TDummy"/>
              <w:keepNext/>
            </w:pPr>
          </w:p>
        </w:tc>
        <w:tc>
          <w:tcPr>
            <w:tcW w:w="1021" w:type="dxa"/>
            <w:tcBorders>
              <w:top w:val="single" w:sz="8" w:space="0" w:color="000000"/>
            </w:tcBorders>
            <w:noWrap/>
            <w:vAlign w:val="bottom"/>
          </w:tcPr>
          <w:p w14:paraId="185FE16A" w14:textId="77777777" w:rsidR="00A81870" w:rsidRDefault="00A81870" w:rsidP="00957225">
            <w:pPr>
              <w:pStyle w:val="TDummy"/>
              <w:keepNext/>
            </w:pPr>
          </w:p>
        </w:tc>
        <w:tc>
          <w:tcPr>
            <w:tcW w:w="119" w:type="dxa"/>
            <w:tcBorders>
              <w:top w:val="single" w:sz="8" w:space="0" w:color="000000"/>
            </w:tcBorders>
            <w:noWrap/>
            <w:vAlign w:val="bottom"/>
          </w:tcPr>
          <w:p w14:paraId="31575C5A" w14:textId="77777777" w:rsidR="00A81870" w:rsidRDefault="00A81870" w:rsidP="00957225">
            <w:pPr>
              <w:pStyle w:val="TDummy"/>
              <w:keepNext/>
            </w:pPr>
          </w:p>
        </w:tc>
        <w:tc>
          <w:tcPr>
            <w:tcW w:w="1021" w:type="dxa"/>
            <w:tcBorders>
              <w:top w:val="single" w:sz="8" w:space="0" w:color="000000"/>
            </w:tcBorders>
            <w:noWrap/>
            <w:vAlign w:val="bottom"/>
          </w:tcPr>
          <w:p w14:paraId="7F7EAF0D" w14:textId="77777777" w:rsidR="00A81870" w:rsidRDefault="00A81870" w:rsidP="00957225">
            <w:pPr>
              <w:pStyle w:val="TDummy"/>
              <w:keepNext/>
            </w:pPr>
          </w:p>
        </w:tc>
      </w:tr>
      <w:tr w:rsidR="00A81870" w14:paraId="77BF4F86" w14:textId="77777777" w:rsidTr="00957225">
        <w:tc>
          <w:tcPr>
            <w:tcW w:w="7473" w:type="dxa"/>
            <w:tcBorders>
              <w:bottom w:val="single" w:sz="4" w:space="0" w:color="000000"/>
            </w:tcBorders>
            <w:shd w:val="clear" w:color="000000" w:fill="FFFFFF"/>
            <w:noWrap/>
            <w:vAlign w:val="bottom"/>
          </w:tcPr>
          <w:p w14:paraId="57ADE404" w14:textId="77777777" w:rsidR="00A81870" w:rsidRDefault="00A81870" w:rsidP="00957225">
            <w:pPr>
              <w:pStyle w:val="THeadsingleText"/>
            </w:pPr>
            <w:bookmarkStart w:id="39" w:name="RANGE!B51:F51"/>
            <w:bookmarkEnd w:id="39"/>
          </w:p>
        </w:tc>
        <w:tc>
          <w:tcPr>
            <w:tcW w:w="119" w:type="dxa"/>
            <w:noWrap/>
            <w:vAlign w:val="bottom"/>
          </w:tcPr>
          <w:p w14:paraId="45115B4C" w14:textId="77777777" w:rsidR="00A81870" w:rsidRDefault="00A81870" w:rsidP="00957225">
            <w:pPr>
              <w:pStyle w:val="THeadsingleNumber"/>
            </w:pPr>
          </w:p>
        </w:tc>
        <w:tc>
          <w:tcPr>
            <w:tcW w:w="1021" w:type="dxa"/>
            <w:tcBorders>
              <w:bottom w:val="single" w:sz="4" w:space="0" w:color="000000"/>
            </w:tcBorders>
            <w:shd w:val="clear" w:color="000000" w:fill="FFFFFF"/>
            <w:vAlign w:val="bottom"/>
          </w:tcPr>
          <w:p w14:paraId="45E85763" w14:textId="77777777" w:rsidR="00A81870" w:rsidRDefault="00A81870" w:rsidP="00957225">
            <w:pPr>
              <w:pStyle w:val="THeadsingleNumber"/>
            </w:pPr>
            <w:proofErr w:type="spellStart"/>
            <w:r>
              <w:t>Dec</w:t>
            </w:r>
            <w:proofErr w:type="spellEnd"/>
            <w:r>
              <w:t>. 31, 2020</w:t>
            </w:r>
          </w:p>
        </w:tc>
        <w:tc>
          <w:tcPr>
            <w:tcW w:w="119" w:type="dxa"/>
            <w:vAlign w:val="bottom"/>
          </w:tcPr>
          <w:p w14:paraId="7D6D5690" w14:textId="77777777" w:rsidR="00A81870" w:rsidRDefault="00A81870" w:rsidP="00957225">
            <w:pPr>
              <w:pStyle w:val="THeadsingleNumber"/>
            </w:pPr>
          </w:p>
        </w:tc>
        <w:tc>
          <w:tcPr>
            <w:tcW w:w="1021" w:type="dxa"/>
            <w:tcBorders>
              <w:bottom w:val="single" w:sz="4" w:space="0" w:color="000000"/>
            </w:tcBorders>
            <w:shd w:val="clear" w:color="000000" w:fill="FFFFFF"/>
            <w:vAlign w:val="bottom"/>
          </w:tcPr>
          <w:p w14:paraId="669EDE34" w14:textId="77777777" w:rsidR="00A81870" w:rsidRDefault="00A81870" w:rsidP="00957225">
            <w:pPr>
              <w:pStyle w:val="THeadsingleNumberbold"/>
            </w:pPr>
            <w:bookmarkStart w:id="40" w:name="RANGE!F51:F60"/>
            <w:bookmarkEnd w:id="40"/>
            <w:r>
              <w:t>June 30, 2021</w:t>
            </w:r>
          </w:p>
        </w:tc>
      </w:tr>
      <w:tr w:rsidR="00A81870" w14:paraId="130BEB49" w14:textId="77777777" w:rsidTr="00957225">
        <w:tc>
          <w:tcPr>
            <w:tcW w:w="7473" w:type="dxa"/>
            <w:tcBorders>
              <w:top w:val="single" w:sz="4" w:space="0" w:color="000000"/>
              <w:bottom w:val="single" w:sz="4" w:space="0" w:color="A59C94"/>
            </w:tcBorders>
            <w:noWrap/>
            <w:vAlign w:val="bottom"/>
          </w:tcPr>
          <w:p w14:paraId="015AB155" w14:textId="77777777" w:rsidR="00A81870" w:rsidRDefault="00A81870" w:rsidP="00957225">
            <w:pPr>
              <w:pStyle w:val="TBodynormalText"/>
            </w:pPr>
            <w:r>
              <w:t>Specialty Additives</w:t>
            </w:r>
          </w:p>
        </w:tc>
        <w:tc>
          <w:tcPr>
            <w:tcW w:w="119" w:type="dxa"/>
            <w:noWrap/>
            <w:vAlign w:val="bottom"/>
          </w:tcPr>
          <w:p w14:paraId="0F51C1DB" w14:textId="77777777" w:rsidR="00A81870" w:rsidRDefault="00A81870" w:rsidP="00957225">
            <w:pPr>
              <w:pStyle w:val="TBodynormalNumber"/>
              <w:keepNext/>
            </w:pPr>
          </w:p>
        </w:tc>
        <w:tc>
          <w:tcPr>
            <w:tcW w:w="1021" w:type="dxa"/>
            <w:tcBorders>
              <w:top w:val="single" w:sz="4" w:space="0" w:color="000000"/>
              <w:bottom w:val="single" w:sz="4" w:space="0" w:color="A59C94"/>
            </w:tcBorders>
            <w:noWrap/>
            <w:vAlign w:val="bottom"/>
          </w:tcPr>
          <w:p w14:paraId="4E8695F9" w14:textId="77777777" w:rsidR="00A81870" w:rsidRDefault="00A81870" w:rsidP="00957225">
            <w:pPr>
              <w:pStyle w:val="TBodynormalNumber"/>
              <w:keepNext/>
            </w:pPr>
            <w:r>
              <w:t>3,666</w:t>
            </w:r>
          </w:p>
        </w:tc>
        <w:tc>
          <w:tcPr>
            <w:tcW w:w="119" w:type="dxa"/>
            <w:noWrap/>
            <w:vAlign w:val="bottom"/>
          </w:tcPr>
          <w:p w14:paraId="1C344544" w14:textId="77777777" w:rsidR="00A81870" w:rsidRDefault="00A81870"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C520EBB" w14:textId="77777777" w:rsidR="00A81870" w:rsidRDefault="00A81870" w:rsidP="00957225">
            <w:pPr>
              <w:pStyle w:val="TBodynormalNumber"/>
              <w:keepNext/>
            </w:pPr>
            <w:r>
              <w:t>3,680</w:t>
            </w:r>
          </w:p>
        </w:tc>
      </w:tr>
      <w:tr w:rsidR="00A81870" w14:paraId="6833D2F5" w14:textId="77777777" w:rsidTr="00957225">
        <w:tc>
          <w:tcPr>
            <w:tcW w:w="7473" w:type="dxa"/>
            <w:tcBorders>
              <w:top w:val="single" w:sz="4" w:space="0" w:color="A59C94"/>
              <w:bottom w:val="single" w:sz="4" w:space="0" w:color="A59C94"/>
            </w:tcBorders>
            <w:noWrap/>
            <w:vAlign w:val="bottom"/>
          </w:tcPr>
          <w:p w14:paraId="4B4E10B5" w14:textId="77777777" w:rsidR="00A81870" w:rsidRDefault="00A81870" w:rsidP="00957225">
            <w:pPr>
              <w:pStyle w:val="TBodynormalText"/>
            </w:pPr>
            <w:r>
              <w:t>Nutrition &amp; Care</w:t>
            </w:r>
          </w:p>
        </w:tc>
        <w:tc>
          <w:tcPr>
            <w:tcW w:w="119" w:type="dxa"/>
            <w:noWrap/>
            <w:vAlign w:val="bottom"/>
          </w:tcPr>
          <w:p w14:paraId="0CE3CAA5"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19E1DC15" w14:textId="77777777" w:rsidR="00A81870" w:rsidRDefault="00A81870" w:rsidP="00957225">
            <w:pPr>
              <w:pStyle w:val="TBodynormalNumber"/>
              <w:keepNext/>
            </w:pPr>
            <w:r>
              <w:t>5,295</w:t>
            </w:r>
          </w:p>
        </w:tc>
        <w:tc>
          <w:tcPr>
            <w:tcW w:w="119" w:type="dxa"/>
            <w:noWrap/>
            <w:vAlign w:val="bottom"/>
          </w:tcPr>
          <w:p w14:paraId="08C4D7B1"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2934E69" w14:textId="77777777" w:rsidR="00A81870" w:rsidRDefault="00A81870" w:rsidP="00957225">
            <w:pPr>
              <w:pStyle w:val="TBodynormalNumber"/>
              <w:keepNext/>
            </w:pPr>
            <w:r>
              <w:t>5,323</w:t>
            </w:r>
          </w:p>
        </w:tc>
      </w:tr>
      <w:tr w:rsidR="00A81870" w14:paraId="505D668C" w14:textId="77777777" w:rsidTr="00957225">
        <w:tc>
          <w:tcPr>
            <w:tcW w:w="7473" w:type="dxa"/>
            <w:tcBorders>
              <w:top w:val="single" w:sz="4" w:space="0" w:color="A59C94"/>
              <w:bottom w:val="single" w:sz="4" w:space="0" w:color="A59C94"/>
            </w:tcBorders>
            <w:noWrap/>
            <w:vAlign w:val="bottom"/>
          </w:tcPr>
          <w:p w14:paraId="2730DF6B" w14:textId="77777777" w:rsidR="00A81870" w:rsidRDefault="00A81870" w:rsidP="00957225">
            <w:pPr>
              <w:pStyle w:val="TBodynormalText"/>
            </w:pPr>
            <w:r>
              <w:t>Smart Materials</w:t>
            </w:r>
          </w:p>
        </w:tc>
        <w:tc>
          <w:tcPr>
            <w:tcW w:w="119" w:type="dxa"/>
            <w:noWrap/>
            <w:vAlign w:val="bottom"/>
          </w:tcPr>
          <w:p w14:paraId="18F7D142"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76238C18" w14:textId="77777777" w:rsidR="00A81870" w:rsidRDefault="00A81870" w:rsidP="00957225">
            <w:pPr>
              <w:pStyle w:val="TBodynormalNumber"/>
              <w:keepNext/>
            </w:pPr>
            <w:r>
              <w:t>7,874</w:t>
            </w:r>
          </w:p>
        </w:tc>
        <w:tc>
          <w:tcPr>
            <w:tcW w:w="119" w:type="dxa"/>
            <w:noWrap/>
            <w:vAlign w:val="bottom"/>
          </w:tcPr>
          <w:p w14:paraId="4CC25A9F"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71B60CC" w14:textId="77777777" w:rsidR="00A81870" w:rsidRDefault="00A81870" w:rsidP="00957225">
            <w:pPr>
              <w:pStyle w:val="TBodynormalNumber"/>
              <w:keepNext/>
            </w:pPr>
            <w:r>
              <w:t>7,765</w:t>
            </w:r>
          </w:p>
        </w:tc>
      </w:tr>
      <w:tr w:rsidR="00A81870" w14:paraId="19AA59D0" w14:textId="77777777" w:rsidTr="00957225">
        <w:tc>
          <w:tcPr>
            <w:tcW w:w="7473" w:type="dxa"/>
            <w:tcBorders>
              <w:top w:val="single" w:sz="4" w:space="0" w:color="A59C94"/>
              <w:bottom w:val="single" w:sz="4" w:space="0" w:color="A59C94"/>
            </w:tcBorders>
            <w:noWrap/>
            <w:vAlign w:val="bottom"/>
          </w:tcPr>
          <w:p w14:paraId="2A33ED0A" w14:textId="77777777" w:rsidR="00A81870" w:rsidRDefault="00A81870" w:rsidP="00957225">
            <w:pPr>
              <w:pStyle w:val="TBodynormalText"/>
            </w:pPr>
            <w:r>
              <w:t>Performance Materials</w:t>
            </w:r>
          </w:p>
        </w:tc>
        <w:tc>
          <w:tcPr>
            <w:tcW w:w="119" w:type="dxa"/>
            <w:noWrap/>
            <w:vAlign w:val="bottom"/>
          </w:tcPr>
          <w:p w14:paraId="25196CDB"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B71C754" w14:textId="77777777" w:rsidR="00A81870" w:rsidRDefault="00A81870" w:rsidP="00957225">
            <w:pPr>
              <w:pStyle w:val="TBodynormalNumber"/>
              <w:keepNext/>
            </w:pPr>
            <w:r>
              <w:t>1,798</w:t>
            </w:r>
          </w:p>
        </w:tc>
        <w:tc>
          <w:tcPr>
            <w:tcW w:w="119" w:type="dxa"/>
            <w:noWrap/>
            <w:vAlign w:val="bottom"/>
          </w:tcPr>
          <w:p w14:paraId="36F8BD14"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F7A80C1" w14:textId="77777777" w:rsidR="00A81870" w:rsidRDefault="00A81870" w:rsidP="00957225">
            <w:pPr>
              <w:pStyle w:val="TBodynormalNumber"/>
              <w:keepNext/>
            </w:pPr>
            <w:r>
              <w:t>1,791</w:t>
            </w:r>
          </w:p>
        </w:tc>
      </w:tr>
      <w:tr w:rsidR="00A81870" w14:paraId="36890601" w14:textId="77777777" w:rsidTr="00957225">
        <w:tc>
          <w:tcPr>
            <w:tcW w:w="7473" w:type="dxa"/>
            <w:tcBorders>
              <w:top w:val="single" w:sz="4" w:space="0" w:color="A59C94"/>
              <w:bottom w:val="single" w:sz="4" w:space="0" w:color="A59C94"/>
            </w:tcBorders>
            <w:noWrap/>
            <w:vAlign w:val="bottom"/>
          </w:tcPr>
          <w:p w14:paraId="3744310B" w14:textId="77777777" w:rsidR="00A81870" w:rsidRDefault="00A81870" w:rsidP="00957225">
            <w:pPr>
              <w:pStyle w:val="TBodynormalText"/>
            </w:pPr>
            <w:r>
              <w:t>Technology &amp; Infrastructure</w:t>
            </w:r>
          </w:p>
        </w:tc>
        <w:tc>
          <w:tcPr>
            <w:tcW w:w="119" w:type="dxa"/>
            <w:noWrap/>
            <w:vAlign w:val="bottom"/>
          </w:tcPr>
          <w:p w14:paraId="4E1A3A7A" w14:textId="77777777" w:rsidR="00A81870" w:rsidRDefault="00A81870" w:rsidP="00957225">
            <w:pPr>
              <w:pStyle w:val="TBodynormalNumber"/>
              <w:keepNext/>
            </w:pPr>
          </w:p>
        </w:tc>
        <w:tc>
          <w:tcPr>
            <w:tcW w:w="1021" w:type="dxa"/>
            <w:tcBorders>
              <w:top w:val="single" w:sz="4" w:space="0" w:color="A59C94"/>
              <w:bottom w:val="single" w:sz="4" w:space="0" w:color="A59C94"/>
            </w:tcBorders>
            <w:noWrap/>
            <w:vAlign w:val="bottom"/>
          </w:tcPr>
          <w:p w14:paraId="5F423F19" w14:textId="77777777" w:rsidR="00A81870" w:rsidRDefault="00A81870" w:rsidP="00957225">
            <w:pPr>
              <w:pStyle w:val="TBodynormalNumber"/>
              <w:keepNext/>
            </w:pPr>
            <w:r>
              <w:t>8,711</w:t>
            </w:r>
          </w:p>
        </w:tc>
        <w:tc>
          <w:tcPr>
            <w:tcW w:w="119" w:type="dxa"/>
            <w:noWrap/>
            <w:vAlign w:val="bottom"/>
          </w:tcPr>
          <w:p w14:paraId="0B7B87B0"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D112A1B" w14:textId="77777777" w:rsidR="00A81870" w:rsidRDefault="00A81870" w:rsidP="00957225">
            <w:pPr>
              <w:pStyle w:val="TBodynormalNumber"/>
              <w:keepNext/>
            </w:pPr>
            <w:r>
              <w:t>8,413</w:t>
            </w:r>
          </w:p>
        </w:tc>
      </w:tr>
      <w:tr w:rsidR="00A81870" w14:paraId="7147C21A" w14:textId="77777777" w:rsidTr="00957225">
        <w:tc>
          <w:tcPr>
            <w:tcW w:w="7473" w:type="dxa"/>
            <w:tcBorders>
              <w:top w:val="single" w:sz="4" w:space="0" w:color="A59C94"/>
              <w:bottom w:val="single" w:sz="4" w:space="0" w:color="A59C94"/>
            </w:tcBorders>
            <w:noWrap/>
            <w:vAlign w:val="bottom"/>
          </w:tcPr>
          <w:p w14:paraId="41B8370B" w14:textId="77777777" w:rsidR="00A81870" w:rsidRPr="009303F4" w:rsidRDefault="00A81870" w:rsidP="00957225">
            <w:pPr>
              <w:pStyle w:val="TBodynormalText"/>
              <w:rPr>
                <w:lang w:val="en-US"/>
              </w:rPr>
            </w:pPr>
            <w:r w:rsidRPr="008D0B1B">
              <w:rPr>
                <w:lang w:val="en-US"/>
              </w:rPr>
              <w:t>Enabling Functions, Other Activities, Consolidation</w:t>
            </w:r>
          </w:p>
        </w:tc>
        <w:tc>
          <w:tcPr>
            <w:tcW w:w="119" w:type="dxa"/>
            <w:noWrap/>
            <w:vAlign w:val="bottom"/>
          </w:tcPr>
          <w:p w14:paraId="5324834D" w14:textId="77777777" w:rsidR="00A81870" w:rsidRPr="009303F4" w:rsidRDefault="00A81870" w:rsidP="00957225">
            <w:pPr>
              <w:pStyle w:val="TBodynormalNumber"/>
              <w:keepNext/>
              <w:rPr>
                <w:lang w:val="en-US"/>
              </w:rPr>
            </w:pPr>
          </w:p>
        </w:tc>
        <w:tc>
          <w:tcPr>
            <w:tcW w:w="1021" w:type="dxa"/>
            <w:tcBorders>
              <w:top w:val="single" w:sz="4" w:space="0" w:color="A59C94"/>
              <w:bottom w:val="single" w:sz="4" w:space="0" w:color="A59C94"/>
            </w:tcBorders>
            <w:noWrap/>
            <w:vAlign w:val="bottom"/>
          </w:tcPr>
          <w:p w14:paraId="3ACE06CD" w14:textId="77777777" w:rsidR="00A81870" w:rsidRDefault="00A81870" w:rsidP="00957225">
            <w:pPr>
              <w:pStyle w:val="TBodynormalNumber"/>
              <w:keepNext/>
            </w:pPr>
            <w:r>
              <w:t>5,762</w:t>
            </w:r>
          </w:p>
        </w:tc>
        <w:tc>
          <w:tcPr>
            <w:tcW w:w="119" w:type="dxa"/>
            <w:noWrap/>
            <w:vAlign w:val="bottom"/>
          </w:tcPr>
          <w:p w14:paraId="0CE7BA8C" w14:textId="77777777" w:rsidR="00A81870" w:rsidRDefault="00A81870"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0EC38B2" w14:textId="77777777" w:rsidR="00A81870" w:rsidRDefault="00A81870" w:rsidP="00957225">
            <w:pPr>
              <w:pStyle w:val="TBodynormalNumber"/>
              <w:keepNext/>
            </w:pPr>
            <w:r>
              <w:t>5,689</w:t>
            </w:r>
          </w:p>
        </w:tc>
      </w:tr>
      <w:tr w:rsidR="00A81870" w14:paraId="548DEFAC" w14:textId="77777777" w:rsidTr="00957225">
        <w:tc>
          <w:tcPr>
            <w:tcW w:w="7473" w:type="dxa"/>
            <w:tcBorders>
              <w:top w:val="single" w:sz="4" w:space="0" w:color="A59C94"/>
              <w:bottom w:val="single" w:sz="16" w:space="0" w:color="991D85"/>
            </w:tcBorders>
            <w:noWrap/>
            <w:vAlign w:val="bottom"/>
          </w:tcPr>
          <w:p w14:paraId="68EE5D8C" w14:textId="77777777" w:rsidR="00A81870" w:rsidRDefault="00A81870" w:rsidP="00957225">
            <w:pPr>
              <w:pStyle w:val="TBodytotalText"/>
            </w:pPr>
            <w:bookmarkStart w:id="41" w:name="RANGE!B60:F60"/>
            <w:bookmarkEnd w:id="41"/>
            <w:r>
              <w:t>Group</w:t>
            </w:r>
          </w:p>
        </w:tc>
        <w:tc>
          <w:tcPr>
            <w:tcW w:w="119" w:type="dxa"/>
            <w:tcBorders>
              <w:bottom w:val="single" w:sz="16" w:space="0" w:color="991D85"/>
            </w:tcBorders>
            <w:noWrap/>
            <w:vAlign w:val="bottom"/>
          </w:tcPr>
          <w:p w14:paraId="1B87B8AD" w14:textId="77777777" w:rsidR="00A81870" w:rsidRDefault="00A81870" w:rsidP="00957225">
            <w:pPr>
              <w:pStyle w:val="TBodytotalNumber"/>
            </w:pPr>
          </w:p>
        </w:tc>
        <w:tc>
          <w:tcPr>
            <w:tcW w:w="1021" w:type="dxa"/>
            <w:tcBorders>
              <w:top w:val="single" w:sz="4" w:space="0" w:color="A59C94"/>
              <w:bottom w:val="single" w:sz="16" w:space="0" w:color="991D85"/>
            </w:tcBorders>
            <w:noWrap/>
            <w:vAlign w:val="bottom"/>
          </w:tcPr>
          <w:p w14:paraId="40C47F24" w14:textId="77777777" w:rsidR="00A81870" w:rsidRDefault="00A81870" w:rsidP="00957225">
            <w:pPr>
              <w:pStyle w:val="TBodytotalNumber"/>
            </w:pPr>
            <w:r>
              <w:t>33,106</w:t>
            </w:r>
          </w:p>
        </w:tc>
        <w:tc>
          <w:tcPr>
            <w:tcW w:w="119" w:type="dxa"/>
            <w:tcBorders>
              <w:bottom w:val="single" w:sz="16" w:space="0" w:color="991D85"/>
            </w:tcBorders>
            <w:noWrap/>
            <w:vAlign w:val="bottom"/>
          </w:tcPr>
          <w:p w14:paraId="4D4E6E0E" w14:textId="77777777" w:rsidR="00A81870" w:rsidRDefault="00A81870"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54E0F117" w14:textId="77777777" w:rsidR="00A81870" w:rsidRDefault="00A81870" w:rsidP="00957225">
            <w:pPr>
              <w:pStyle w:val="TBodytotalNumber"/>
            </w:pPr>
            <w:r>
              <w:t>32,661</w:t>
            </w:r>
          </w:p>
        </w:tc>
      </w:tr>
      <w:bookmarkEnd w:id="38"/>
    </w:tbl>
    <w:p w14:paraId="402C364E" w14:textId="77777777" w:rsidR="0091343F" w:rsidRDefault="0091343F" w:rsidP="0091343F">
      <w:pPr>
        <w:spacing w:line="220" w:lineRule="exact"/>
        <w:outlineLvl w:val="0"/>
        <w:rPr>
          <w:b/>
          <w:bCs/>
          <w:color w:val="000000"/>
          <w:sz w:val="18"/>
          <w:szCs w:val="18"/>
        </w:rPr>
      </w:pPr>
    </w:p>
    <w:p w14:paraId="7B2C1C7C" w14:textId="77777777" w:rsidR="0091343F" w:rsidRDefault="0091343F" w:rsidP="0091343F">
      <w:pPr>
        <w:spacing w:line="220" w:lineRule="exact"/>
        <w:outlineLvl w:val="0"/>
        <w:rPr>
          <w:b/>
          <w:bCs/>
          <w:color w:val="000000"/>
          <w:sz w:val="18"/>
          <w:szCs w:val="18"/>
        </w:rPr>
      </w:pPr>
    </w:p>
    <w:p w14:paraId="71507903" w14:textId="77777777" w:rsidR="000B593C" w:rsidRDefault="000B593C">
      <w:pPr>
        <w:spacing w:line="240" w:lineRule="auto"/>
        <w:rPr>
          <w:b/>
          <w:bCs/>
          <w:color w:val="000000"/>
          <w:sz w:val="18"/>
          <w:szCs w:val="18"/>
        </w:rPr>
      </w:pPr>
      <w:r>
        <w:rPr>
          <w:b/>
          <w:bCs/>
          <w:color w:val="000000"/>
          <w:sz w:val="18"/>
          <w:szCs w:val="18"/>
        </w:rPr>
        <w:br w:type="page"/>
      </w:r>
    </w:p>
    <w:p w14:paraId="664DAC31" w14:textId="1276C42C" w:rsidR="0091343F" w:rsidRDefault="0091343F" w:rsidP="0091343F">
      <w:pPr>
        <w:spacing w:line="220" w:lineRule="exact"/>
        <w:outlineLvl w:val="0"/>
        <w:rPr>
          <w:rFonts w:cs="Lucida Sans Unicode"/>
          <w:b/>
          <w:bCs/>
          <w:color w:val="000000"/>
          <w:sz w:val="18"/>
          <w:szCs w:val="18"/>
          <w:lang w:val="en-US"/>
        </w:rPr>
      </w:pPr>
      <w:r>
        <w:rPr>
          <w:b/>
          <w:bCs/>
          <w:color w:val="000000"/>
          <w:sz w:val="18"/>
          <w:szCs w:val="18"/>
        </w:rPr>
        <w:lastRenderedPageBreak/>
        <w:t xml:space="preserve">Company information </w:t>
      </w:r>
    </w:p>
    <w:p w14:paraId="4CD3CA69" w14:textId="77777777" w:rsidR="0091343F" w:rsidRDefault="0091343F" w:rsidP="0091343F">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w:t>
      </w:r>
      <w:r>
        <w:rPr>
          <w:sz w:val="18"/>
          <w:szCs w:val="18"/>
        </w:rPr>
        <w:t>2.2</w:t>
      </w:r>
      <w:r w:rsidRPr="009A7CFD">
        <w:rPr>
          <w:sz w:val="18"/>
          <w:szCs w:val="18"/>
        </w:rPr>
        <w:t xml:space="preserve"> billion and an operating profit (adjusted EBITDA) of €</w:t>
      </w:r>
      <w:r>
        <w:rPr>
          <w:sz w:val="18"/>
          <w:szCs w:val="18"/>
        </w:rPr>
        <w:t>1.91</w:t>
      </w:r>
      <w:r w:rsidRPr="009A7CFD">
        <w:rPr>
          <w:sz w:val="18"/>
          <w:szCs w:val="18"/>
        </w:rPr>
        <w:t xml:space="preserve"> billion in 20</w:t>
      </w:r>
      <w:r>
        <w:rPr>
          <w:sz w:val="18"/>
          <w:szCs w:val="18"/>
        </w:rPr>
        <w:t>20</w:t>
      </w:r>
      <w:r w:rsidRPr="009A7CFD">
        <w:rPr>
          <w:sz w:val="18"/>
          <w:szCs w:val="18"/>
        </w:rPr>
        <w:t xml:space="preserve">. Evonik goes far beyond chemistry to create innovative, </w:t>
      </w:r>
      <w:proofErr w:type="gramStart"/>
      <w:r w:rsidRPr="009A7CFD">
        <w:rPr>
          <w:sz w:val="18"/>
          <w:szCs w:val="18"/>
        </w:rPr>
        <w:t>profitable</w:t>
      </w:r>
      <w:proofErr w:type="gramEnd"/>
      <w:r w:rsidRPr="009A7CFD">
        <w:rPr>
          <w:sz w:val="18"/>
          <w:szCs w:val="18"/>
        </w:rPr>
        <w:t xml:space="preserve"> and sustainable solutions for customers. </w:t>
      </w:r>
      <w:r w:rsidRPr="003C7EB2">
        <w:rPr>
          <w:sz w:val="18"/>
          <w:szCs w:val="18"/>
        </w:rPr>
        <w:t>About 33,000 employees</w:t>
      </w:r>
      <w:r w:rsidRPr="009A7CFD">
        <w:rPr>
          <w:sz w:val="18"/>
          <w:szCs w:val="18"/>
        </w:rPr>
        <w:t xml:space="preserve"> work together for a common purpose: We want to improve life </w:t>
      </w:r>
      <w:r>
        <w:rPr>
          <w:sz w:val="18"/>
          <w:szCs w:val="18"/>
        </w:rPr>
        <w:t>today and tomorrow</w:t>
      </w:r>
      <w:r w:rsidRPr="009A7CFD">
        <w:rPr>
          <w:sz w:val="18"/>
          <w:szCs w:val="18"/>
        </w:rPr>
        <w:t>.</w:t>
      </w:r>
    </w:p>
    <w:p w14:paraId="74090C96" w14:textId="77777777" w:rsidR="0091343F" w:rsidRDefault="0091343F" w:rsidP="0091343F">
      <w:pPr>
        <w:spacing w:line="220" w:lineRule="exact"/>
        <w:rPr>
          <w:sz w:val="18"/>
          <w:szCs w:val="18"/>
        </w:rPr>
      </w:pPr>
    </w:p>
    <w:p w14:paraId="1A34CCA8" w14:textId="77777777" w:rsidR="0091343F" w:rsidRDefault="0091343F" w:rsidP="0091343F">
      <w:pPr>
        <w:spacing w:line="220" w:lineRule="exact"/>
        <w:outlineLvl w:val="0"/>
        <w:rPr>
          <w:b/>
          <w:bCs/>
          <w:color w:val="000000"/>
          <w:sz w:val="18"/>
          <w:szCs w:val="18"/>
        </w:rPr>
      </w:pPr>
    </w:p>
    <w:p w14:paraId="769C0DBD" w14:textId="77777777" w:rsidR="0091343F" w:rsidRDefault="0091343F" w:rsidP="0091343F">
      <w:pPr>
        <w:spacing w:line="220" w:lineRule="exact"/>
        <w:outlineLvl w:val="0"/>
        <w:rPr>
          <w:rFonts w:cs="Lucida Sans Unicode"/>
          <w:b/>
          <w:bCs/>
          <w:color w:val="000000"/>
          <w:sz w:val="18"/>
          <w:szCs w:val="18"/>
        </w:rPr>
      </w:pPr>
      <w:r>
        <w:rPr>
          <w:b/>
          <w:bCs/>
          <w:color w:val="000000"/>
          <w:sz w:val="18"/>
          <w:szCs w:val="18"/>
        </w:rPr>
        <w:t>Disclaimer</w:t>
      </w:r>
    </w:p>
    <w:p w14:paraId="5BC7FB27" w14:textId="77777777" w:rsidR="0091343F" w:rsidRPr="00A525CB" w:rsidRDefault="0091343F" w:rsidP="0091343F">
      <w:pPr>
        <w:spacing w:line="220" w:lineRule="exact"/>
        <w:rPr>
          <w:rFonts w:cs="Lucida Sans Unicode"/>
          <w:sz w:val="18"/>
          <w:szCs w:val="18"/>
        </w:rPr>
      </w:pPr>
      <w:r>
        <w:rPr>
          <w:sz w:val="18"/>
          <w:szCs w:val="18"/>
        </w:rPr>
        <w:t xml:space="preserve">In so far as forecasts or expectations are expressed in this IR News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B71B463" w14:textId="77777777" w:rsidR="0091343F" w:rsidRPr="00A525CB" w:rsidRDefault="0091343F" w:rsidP="008A2674">
      <w:pPr>
        <w:tabs>
          <w:tab w:val="left" w:pos="6521"/>
        </w:tabs>
        <w:ind w:right="339"/>
        <w:rPr>
          <w:rFonts w:cs="Lucida Sans Unicode"/>
          <w:sz w:val="18"/>
          <w:szCs w:val="18"/>
        </w:rPr>
      </w:pPr>
    </w:p>
    <w:sectPr w:rsidR="0091343F"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56A4" w14:textId="77777777" w:rsidR="00A90B10" w:rsidRDefault="00A90B10" w:rsidP="00FD1184">
      <w:r>
        <w:separator/>
      </w:r>
    </w:p>
  </w:endnote>
  <w:endnote w:type="continuationSeparator" w:id="0">
    <w:p w14:paraId="3F832210" w14:textId="77777777" w:rsidR="00A90B10" w:rsidRDefault="00A90B1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FC07F" w14:textId="77777777" w:rsidR="00A90B10" w:rsidRDefault="00A90B10" w:rsidP="00FD1184">
      <w:r>
        <w:separator/>
      </w:r>
    </w:p>
  </w:footnote>
  <w:footnote w:type="continuationSeparator" w:id="0">
    <w:p w14:paraId="4432C35E" w14:textId="77777777" w:rsidR="00A90B10" w:rsidRDefault="00A90B1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B2752"/>
    <w:rsid w:val="000B2F63"/>
    <w:rsid w:val="000B4D73"/>
    <w:rsid w:val="000B52EF"/>
    <w:rsid w:val="000B593C"/>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675A2"/>
    <w:rsid w:val="001714FB"/>
    <w:rsid w:val="0017414F"/>
    <w:rsid w:val="00180482"/>
    <w:rsid w:val="00180DC0"/>
    <w:rsid w:val="001837C2"/>
    <w:rsid w:val="00183F73"/>
    <w:rsid w:val="001876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0901"/>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4CF7"/>
    <w:rsid w:val="002D206A"/>
    <w:rsid w:val="002D2599"/>
    <w:rsid w:val="002D2996"/>
    <w:rsid w:val="002D5F0C"/>
    <w:rsid w:val="002F286E"/>
    <w:rsid w:val="002F364E"/>
    <w:rsid w:val="002F49B3"/>
    <w:rsid w:val="00301998"/>
    <w:rsid w:val="00306342"/>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05C"/>
    <w:rsid w:val="004016F5"/>
    <w:rsid w:val="00402DF6"/>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1902"/>
    <w:rsid w:val="00473B7A"/>
    <w:rsid w:val="004768E3"/>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5F85"/>
    <w:rsid w:val="00606A38"/>
    <w:rsid w:val="00620C56"/>
    <w:rsid w:val="00622130"/>
    <w:rsid w:val="00625F86"/>
    <w:rsid w:val="0062721A"/>
    <w:rsid w:val="00630EFE"/>
    <w:rsid w:val="0063459B"/>
    <w:rsid w:val="00635F70"/>
    <w:rsid w:val="0064061E"/>
    <w:rsid w:val="0064405E"/>
    <w:rsid w:val="00645F2F"/>
    <w:rsid w:val="00652A75"/>
    <w:rsid w:val="006550F4"/>
    <w:rsid w:val="006643FE"/>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10B4"/>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674"/>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1343F"/>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870"/>
    <w:rsid w:val="00A81F2D"/>
    <w:rsid w:val="00A87BA0"/>
    <w:rsid w:val="00A90B1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C5817"/>
    <w:rsid w:val="00BC587D"/>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46D85"/>
    <w:rsid w:val="00C60F15"/>
    <w:rsid w:val="00C61046"/>
    <w:rsid w:val="00C7172D"/>
    <w:rsid w:val="00C74DCE"/>
    <w:rsid w:val="00C930F0"/>
    <w:rsid w:val="00C94042"/>
    <w:rsid w:val="00CA51D2"/>
    <w:rsid w:val="00CA6F45"/>
    <w:rsid w:val="00CB280A"/>
    <w:rsid w:val="00CB2A16"/>
    <w:rsid w:val="00CB3A53"/>
    <w:rsid w:val="00CB3A95"/>
    <w:rsid w:val="00CB585B"/>
    <w:rsid w:val="00CB77C8"/>
    <w:rsid w:val="00CC69E9"/>
    <w:rsid w:val="00CD1EE7"/>
    <w:rsid w:val="00CE2E92"/>
    <w:rsid w:val="00CF2E07"/>
    <w:rsid w:val="00CF3942"/>
    <w:rsid w:val="00D02097"/>
    <w:rsid w:val="00D06642"/>
    <w:rsid w:val="00D12103"/>
    <w:rsid w:val="00D15DDE"/>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0380"/>
    <w:rsid w:val="00E273A7"/>
    <w:rsid w:val="00E31CB7"/>
    <w:rsid w:val="00E363F0"/>
    <w:rsid w:val="00E430EA"/>
    <w:rsid w:val="00E44B62"/>
    <w:rsid w:val="00E45513"/>
    <w:rsid w:val="00E46D1E"/>
    <w:rsid w:val="00E5486B"/>
    <w:rsid w:val="00E62EE2"/>
    <w:rsid w:val="00E635C2"/>
    <w:rsid w:val="00E6418A"/>
    <w:rsid w:val="00E67EA2"/>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246ED"/>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210805_IR News Q2 2021_EN</Description0>
    <DocumentTitle xmlns="3900a7cd-735b-4f56-a6f4-08d139dd6cc3">210805_IR News Q2 2021_EN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0DB2B4-615C-45F3-89E9-45E49860855F}"/>
</file>

<file path=customXml/itemProps3.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4.xml><?xml version="1.0" encoding="utf-8"?>
<ds:datastoreItem xmlns:ds="http://schemas.openxmlformats.org/officeDocument/2006/customXml" ds:itemID="{EF5F2635-C9B2-4B5E-B4AF-C93494BA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8452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18</cp:revision>
  <cp:lastPrinted>2021-08-04T13:18:00Z</cp:lastPrinted>
  <dcterms:created xsi:type="dcterms:W3CDTF">2021-05-05T12:55:00Z</dcterms:created>
  <dcterms:modified xsi:type="dcterms:W3CDTF">2021-08-04T13:18:00Z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2021-05-05T12:54:21Z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